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adjustRightInd w:val="0"/>
        <w:snapToGrid w:val="0"/>
        <w:spacing w:line="560" w:lineRule="atLeast"/>
        <w:jc w:val="center"/>
        <w:textAlignment w:val="auto"/>
        <w:rPr>
          <w:szCs w:val="32"/>
        </w:rPr>
      </w:pPr>
    </w:p>
    <w:p>
      <w:pPr>
        <w:keepNext w:val="0"/>
        <w:keepLines w:val="0"/>
        <w:pageBreakBefore w:val="0"/>
        <w:kinsoku/>
        <w:wordWrap/>
        <w:topLinePunct w:val="0"/>
        <w:autoSpaceDN/>
        <w:bidi w:val="0"/>
        <w:adjustRightInd w:val="0"/>
        <w:snapToGrid w:val="0"/>
        <w:spacing w:line="560" w:lineRule="atLeast"/>
        <w:jc w:val="center"/>
        <w:textAlignment w:val="auto"/>
        <w:rPr>
          <w:szCs w:val="32"/>
        </w:rPr>
      </w:pPr>
    </w:p>
    <w:p>
      <w:pPr>
        <w:keepNext w:val="0"/>
        <w:keepLines w:val="0"/>
        <w:pageBreakBefore w:val="0"/>
        <w:kinsoku/>
        <w:wordWrap/>
        <w:topLinePunct w:val="0"/>
        <w:autoSpaceDN/>
        <w:bidi w:val="0"/>
        <w:adjustRightInd w:val="0"/>
        <w:snapToGrid w:val="0"/>
        <w:spacing w:line="560" w:lineRule="atLeast"/>
        <w:jc w:val="center"/>
        <w:textAlignment w:val="auto"/>
        <w:rPr>
          <w:szCs w:val="32"/>
        </w:rPr>
      </w:pPr>
    </w:p>
    <w:p>
      <w:pPr>
        <w:keepNext w:val="0"/>
        <w:keepLines w:val="0"/>
        <w:pageBreakBefore w:val="0"/>
        <w:kinsoku/>
        <w:wordWrap/>
        <w:topLinePunct w:val="0"/>
        <w:autoSpaceDN/>
        <w:bidi w:val="0"/>
        <w:adjustRightInd w:val="0"/>
        <w:snapToGrid w:val="0"/>
        <w:spacing w:line="560" w:lineRule="atLeast"/>
        <w:jc w:val="center"/>
        <w:textAlignment w:val="auto"/>
        <w:rPr>
          <w:szCs w:val="32"/>
        </w:rPr>
      </w:pPr>
      <w:r>
        <w:pict>
          <v:shape id="_x0000_s1026" o:spid="_x0000_s1026" o:spt="136" type="#_x0000_t136" style="position:absolute;left:0pt;margin-left:-15pt;margin-top:37.9pt;height:46.5pt;width:457.5pt;mso-wrap-distance-bottom:0pt;mso-wrap-distance-left:9pt;mso-wrap-distance-right:9pt;mso-wrap-distance-top:0pt;z-index:251661312;mso-width-relative:page;mso-height-relative:page;" fillcolor="#FF0000" filled="t" coordsize="21600,21600">
            <v:path/>
            <v:fill on="t" focussize="0,0"/>
            <v:stroke weight="1.25pt" color="#FF0000"/>
            <v:imagedata o:title=""/>
            <o:lock v:ext="edit"/>
            <v:textpath on="t" fitshape="t" fitpath="t" trim="t" xscale="f" string="天津市滨海新区教育体育局文件" style="font-family:方正小标宋简体;font-size:36pt;v-text-align:center;"/>
            <w10:wrap type="square"/>
          </v:shape>
        </w:pict>
      </w:r>
    </w:p>
    <w:p>
      <w:pPr>
        <w:keepNext w:val="0"/>
        <w:keepLines w:val="0"/>
        <w:pageBreakBefore w:val="0"/>
        <w:kinsoku/>
        <w:wordWrap/>
        <w:topLinePunct w:val="0"/>
        <w:autoSpaceDN/>
        <w:bidi w:val="0"/>
        <w:adjustRightInd w:val="0"/>
        <w:snapToGrid w:val="0"/>
        <w:spacing w:line="560" w:lineRule="atLeast"/>
        <w:ind w:left="-822" w:leftChars="-257"/>
        <w:textAlignment w:val="auto"/>
      </w:pPr>
    </w:p>
    <w:p>
      <w:pPr>
        <w:keepNext w:val="0"/>
        <w:keepLines w:val="0"/>
        <w:pageBreakBefore w:val="0"/>
        <w:kinsoku/>
        <w:wordWrap/>
        <w:topLinePunct w:val="0"/>
        <w:autoSpaceDN/>
        <w:bidi w:val="0"/>
        <w:adjustRightInd w:val="0"/>
        <w:snapToGrid w:val="0"/>
        <w:spacing w:line="560" w:lineRule="atLeast"/>
        <w:ind w:left="-822" w:leftChars="-257"/>
        <w:textAlignment w:val="auto"/>
      </w:pPr>
    </w:p>
    <w:p>
      <w:pPr>
        <w:keepNext w:val="0"/>
        <w:keepLines w:val="0"/>
        <w:pageBreakBefore w:val="0"/>
        <w:kinsoku/>
        <w:wordWrap/>
        <w:topLinePunct w:val="0"/>
        <w:autoSpaceDN/>
        <w:bidi w:val="0"/>
        <w:adjustRightInd w:val="0"/>
        <w:snapToGrid w:val="0"/>
        <w:spacing w:line="560" w:lineRule="atLeast"/>
        <w:jc w:val="center"/>
        <w:textAlignment w:val="auto"/>
        <w:rPr>
          <w:rFonts w:hAnsi="仿宋"/>
          <w:szCs w:val="32"/>
        </w:rPr>
      </w:pPr>
      <w:r>
        <w:rPr>
          <w:rFonts w:hint="eastAsia" w:hAnsi="仿宋"/>
          <w:szCs w:val="32"/>
        </w:rPr>
        <w:t>津滨教体〔202</w:t>
      </w:r>
      <w:r>
        <w:rPr>
          <w:rFonts w:hint="eastAsia" w:hAnsi="仿宋"/>
          <w:szCs w:val="32"/>
          <w:lang w:val="en-US" w:eastAsia="zh-CN"/>
        </w:rPr>
        <w:t>1</w:t>
      </w:r>
      <w:r>
        <w:rPr>
          <w:rFonts w:hint="eastAsia" w:hAnsi="仿宋"/>
          <w:szCs w:val="32"/>
        </w:rPr>
        <w:t>〕1号</w:t>
      </w:r>
    </w:p>
    <w:p>
      <w:pPr>
        <w:keepNext w:val="0"/>
        <w:keepLines w:val="0"/>
        <w:pageBreakBefore w:val="0"/>
        <w:kinsoku/>
        <w:wordWrap/>
        <w:topLinePunct w:val="0"/>
        <w:autoSpaceDN/>
        <w:bidi w:val="0"/>
        <w:adjustRightInd w:val="0"/>
        <w:snapToGrid w:val="0"/>
        <w:spacing w:line="560" w:lineRule="atLeast"/>
        <w:textAlignment w:val="auto"/>
      </w:pPr>
      <w: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93345</wp:posOffset>
                </wp:positionV>
                <wp:extent cx="59436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7.35pt;height:0pt;width:468pt;z-index:251660288;mso-width-relative:page;mso-height-relative:page;" filled="f" stroked="t" coordsize="21600,21600" o:gfxdata="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qupszWAAAACQEAAA8AAAAAAAAAAQAgAAAAIgAAAGRycy9kb3ducmV2LnhtbFBL&#10;AQIUABQAAAAIAIdO4kBklD47+AEAAOUDAAAOAAAAAAAAAAEAIAAAACUBAABkcnMvZTJvRG9jLnht&#10;bFBLBQYAAAAABgAGAFkBAACPBQAAAAA=&#10;">
                <v:fill on="f" focussize="0,0"/>
                <v:stroke weight="2.25pt" color="#FF0000" joinstyle="round"/>
                <v:imagedata o:title=""/>
                <o:lock v:ext="edit" aspectratio="f"/>
              </v:line>
            </w:pict>
          </mc:Fallback>
        </mc:AlternateContent>
      </w:r>
    </w:p>
    <w:p>
      <w:pPr>
        <w:keepNext w:val="0"/>
        <w:keepLines w:val="0"/>
        <w:pageBreakBefore w:val="0"/>
        <w:kinsoku/>
        <w:wordWrap/>
        <w:topLinePunct w:val="0"/>
        <w:autoSpaceDN/>
        <w:bidi w:val="0"/>
        <w:adjustRightInd w:val="0"/>
        <w:snapToGrid w:val="0"/>
        <w:spacing w:line="560" w:lineRule="atLeast"/>
        <w:jc w:val="center"/>
        <w:textAlignment w:val="auto"/>
        <w:rPr>
          <w:szCs w:val="32"/>
        </w:rPr>
      </w:pPr>
    </w:p>
    <w:p>
      <w:pPr>
        <w:keepNext w:val="0"/>
        <w:keepLines w:val="0"/>
        <w:pageBreakBefore w:val="0"/>
        <w:kinsoku/>
        <w:wordWrap/>
        <w:topLinePunct w:val="0"/>
        <w:autoSpaceDN/>
        <w:bidi w:val="0"/>
        <w:adjustRightInd w:val="0"/>
        <w:snapToGrid w:val="0"/>
        <w:spacing w:line="560" w:lineRule="atLeast"/>
        <w:jc w:val="center"/>
        <w:textAlignment w:val="auto"/>
        <w:rPr>
          <w:rFonts w:ascii="微软简标宋" w:hAnsi="华文宋体" w:eastAsia="微软简标宋"/>
          <w:sz w:val="44"/>
          <w:szCs w:val="44"/>
        </w:rPr>
      </w:pPr>
      <w:r>
        <w:rPr>
          <w:rFonts w:hint="eastAsia" w:ascii="微软简标宋" w:hAnsi="华文宋体" w:eastAsia="微软简标宋"/>
          <w:sz w:val="44"/>
          <w:szCs w:val="44"/>
        </w:rPr>
        <w:t>关于印发《滨海新区202</w:t>
      </w:r>
      <w:r>
        <w:rPr>
          <w:rFonts w:hint="eastAsia" w:ascii="微软简标宋" w:hAnsi="华文宋体" w:eastAsia="微软简标宋"/>
          <w:sz w:val="44"/>
          <w:szCs w:val="44"/>
          <w:lang w:val="en-US" w:eastAsia="zh-CN"/>
        </w:rPr>
        <w:t>1</w:t>
      </w:r>
      <w:r>
        <w:rPr>
          <w:rFonts w:hint="eastAsia" w:ascii="微软简标宋" w:hAnsi="华文宋体" w:eastAsia="微软简标宋"/>
          <w:sz w:val="44"/>
          <w:szCs w:val="44"/>
        </w:rPr>
        <w:t>年教育体育</w:t>
      </w:r>
    </w:p>
    <w:p>
      <w:pPr>
        <w:keepNext w:val="0"/>
        <w:keepLines w:val="0"/>
        <w:pageBreakBefore w:val="0"/>
        <w:kinsoku/>
        <w:wordWrap/>
        <w:topLinePunct w:val="0"/>
        <w:autoSpaceDN/>
        <w:bidi w:val="0"/>
        <w:adjustRightInd w:val="0"/>
        <w:snapToGrid w:val="0"/>
        <w:spacing w:line="560" w:lineRule="atLeast"/>
        <w:jc w:val="center"/>
        <w:textAlignment w:val="auto"/>
        <w:rPr>
          <w:rFonts w:ascii="宋体" w:hAnsi="宋体" w:eastAsia="宋体" w:cs="宋体"/>
          <w:sz w:val="44"/>
          <w:szCs w:val="44"/>
        </w:rPr>
      </w:pPr>
      <w:r>
        <w:rPr>
          <w:rFonts w:hint="eastAsia" w:ascii="微软简标宋" w:hAnsi="华文宋体" w:eastAsia="微软简标宋"/>
          <w:sz w:val="44"/>
          <w:szCs w:val="44"/>
        </w:rPr>
        <w:t>工作要点》的通知</w:t>
      </w:r>
    </w:p>
    <w:p>
      <w:pPr>
        <w:keepNext w:val="0"/>
        <w:keepLines w:val="0"/>
        <w:pageBreakBefore w:val="0"/>
        <w:kinsoku/>
        <w:wordWrap/>
        <w:topLinePunct w:val="0"/>
        <w:autoSpaceDN/>
        <w:bidi w:val="0"/>
        <w:adjustRightInd w:val="0"/>
        <w:snapToGrid w:val="0"/>
        <w:spacing w:line="560" w:lineRule="atLeast"/>
        <w:jc w:val="center"/>
        <w:textAlignment w:val="auto"/>
        <w:rPr>
          <w:rFonts w:hAnsi="华文宋体"/>
          <w:szCs w:val="32"/>
        </w:rPr>
      </w:pPr>
    </w:p>
    <w:p>
      <w:pPr>
        <w:keepNext w:val="0"/>
        <w:keepLines w:val="0"/>
        <w:pageBreakBefore w:val="0"/>
        <w:kinsoku/>
        <w:wordWrap/>
        <w:topLinePunct w:val="0"/>
        <w:autoSpaceDN/>
        <w:bidi w:val="0"/>
        <w:adjustRightInd w:val="0"/>
        <w:snapToGrid w:val="0"/>
        <w:spacing w:line="560" w:lineRule="atLeast"/>
        <w:textAlignment w:val="auto"/>
        <w:rPr>
          <w:rFonts w:hAnsi="华文宋体"/>
          <w:szCs w:val="32"/>
        </w:rPr>
      </w:pPr>
      <w:r>
        <w:rPr>
          <w:rFonts w:hint="eastAsia" w:hAnsi="华文宋体"/>
          <w:szCs w:val="32"/>
        </w:rPr>
        <w:t>局属各单位，各开发区教育主管部门，泰达街</w:t>
      </w:r>
      <w:r>
        <w:rPr>
          <w:rFonts w:hint="eastAsia" w:hAnsi="华文宋体"/>
          <w:szCs w:val="32"/>
          <w:lang w:eastAsia="zh-CN"/>
        </w:rPr>
        <w:t>社管委文教办</w:t>
      </w:r>
      <w:r>
        <w:rPr>
          <w:rFonts w:hint="eastAsia" w:hAnsi="华文宋体"/>
          <w:szCs w:val="32"/>
        </w:rPr>
        <w:t>：</w:t>
      </w:r>
    </w:p>
    <w:p>
      <w:pPr>
        <w:keepNext w:val="0"/>
        <w:keepLines w:val="0"/>
        <w:pageBreakBefore w:val="0"/>
        <w:kinsoku/>
        <w:wordWrap/>
        <w:topLinePunct w:val="0"/>
        <w:autoSpaceDN/>
        <w:bidi w:val="0"/>
        <w:adjustRightInd w:val="0"/>
        <w:snapToGrid w:val="0"/>
        <w:spacing w:line="560" w:lineRule="atLeast"/>
        <w:textAlignment w:val="auto"/>
        <w:rPr>
          <w:rFonts w:hAnsi="华文宋体"/>
          <w:szCs w:val="32"/>
        </w:rPr>
      </w:pPr>
      <w:r>
        <w:rPr>
          <w:rFonts w:hint="eastAsia" w:hAnsi="华文宋体"/>
          <w:szCs w:val="32"/>
        </w:rPr>
        <w:t>　　现将《滨海新区202</w:t>
      </w:r>
      <w:r>
        <w:rPr>
          <w:rFonts w:hint="eastAsia" w:hAnsi="华文宋体"/>
          <w:szCs w:val="32"/>
          <w:lang w:val="en-US" w:eastAsia="zh-CN"/>
        </w:rPr>
        <w:t>1</w:t>
      </w:r>
      <w:r>
        <w:rPr>
          <w:rFonts w:hint="eastAsia" w:hAnsi="华文宋体"/>
          <w:szCs w:val="32"/>
        </w:rPr>
        <w:t>年教育体育工作要点》印发给你们，请结合工作实际，认真贯彻落实。</w:t>
      </w:r>
    </w:p>
    <w:p>
      <w:pPr>
        <w:keepNext w:val="0"/>
        <w:keepLines w:val="0"/>
        <w:pageBreakBefore w:val="0"/>
        <w:widowControl/>
        <w:kinsoku/>
        <w:wordWrap/>
        <w:topLinePunct w:val="0"/>
        <w:autoSpaceDN/>
        <w:bidi w:val="0"/>
        <w:adjustRightInd w:val="0"/>
        <w:snapToGrid w:val="0"/>
        <w:spacing w:line="560" w:lineRule="atLeast"/>
        <w:textAlignment w:val="auto"/>
        <w:rPr>
          <w:rFonts w:ascii="Times New Roman"/>
          <w:szCs w:val="32"/>
        </w:rPr>
      </w:pPr>
    </w:p>
    <w:p>
      <w:pPr>
        <w:keepNext w:val="0"/>
        <w:keepLines w:val="0"/>
        <w:pageBreakBefore w:val="0"/>
        <w:widowControl/>
        <w:kinsoku/>
        <w:wordWrap/>
        <w:topLinePunct w:val="0"/>
        <w:autoSpaceDN/>
        <w:bidi w:val="0"/>
        <w:adjustRightInd w:val="0"/>
        <w:snapToGrid w:val="0"/>
        <w:spacing w:line="560" w:lineRule="atLeast"/>
        <w:textAlignment w:val="auto"/>
        <w:rPr>
          <w:rFonts w:ascii="Times New Roman"/>
          <w:szCs w:val="32"/>
        </w:rPr>
      </w:pPr>
    </w:p>
    <w:p>
      <w:pPr>
        <w:keepNext w:val="0"/>
        <w:keepLines w:val="0"/>
        <w:pageBreakBefore w:val="0"/>
        <w:widowControl/>
        <w:kinsoku/>
        <w:wordWrap/>
        <w:topLinePunct w:val="0"/>
        <w:autoSpaceDN/>
        <w:bidi w:val="0"/>
        <w:adjustRightInd w:val="0"/>
        <w:snapToGrid w:val="0"/>
        <w:spacing w:line="560" w:lineRule="atLeast"/>
        <w:textAlignment w:val="auto"/>
        <w:rPr>
          <w:rFonts w:ascii="Times New Roman"/>
          <w:szCs w:val="32"/>
        </w:rPr>
      </w:pPr>
    </w:p>
    <w:p>
      <w:pPr>
        <w:keepNext w:val="0"/>
        <w:keepLines w:val="0"/>
        <w:pageBreakBefore w:val="0"/>
        <w:widowControl/>
        <w:kinsoku/>
        <w:wordWrap/>
        <w:topLinePunct w:val="0"/>
        <w:autoSpaceDN/>
        <w:bidi w:val="0"/>
        <w:adjustRightInd w:val="0"/>
        <w:snapToGrid w:val="0"/>
        <w:spacing w:line="560" w:lineRule="atLeast"/>
        <w:ind w:firstLine="5100" w:firstLineChars="1594"/>
        <w:textAlignment w:val="auto"/>
        <w:rPr>
          <w:rFonts w:ascii="Times New Roman"/>
          <w:szCs w:val="32"/>
        </w:rPr>
      </w:pPr>
      <w:r>
        <w:rPr>
          <w:rFonts w:hint="eastAsia" w:hAnsi="华文宋体"/>
          <w:szCs w:val="32"/>
        </w:rPr>
        <w:t>2</w:t>
      </w:r>
      <w:r>
        <w:rPr>
          <w:rFonts w:hAnsi="华文宋体"/>
          <w:szCs w:val="32"/>
        </w:rPr>
        <w:t>0</w:t>
      </w:r>
      <w:r>
        <w:rPr>
          <w:rFonts w:hint="eastAsia" w:hAnsi="华文宋体"/>
          <w:szCs w:val="32"/>
        </w:rPr>
        <w:t>2</w:t>
      </w:r>
      <w:r>
        <w:rPr>
          <w:rFonts w:hint="eastAsia" w:hAnsi="华文宋体"/>
          <w:szCs w:val="32"/>
          <w:lang w:val="en-US" w:eastAsia="zh-CN"/>
        </w:rPr>
        <w:t>1</w:t>
      </w:r>
      <w:r>
        <w:rPr>
          <w:rFonts w:hAnsi="华文宋体"/>
          <w:szCs w:val="32"/>
        </w:rPr>
        <w:t>年</w:t>
      </w:r>
      <w:r>
        <w:rPr>
          <w:rFonts w:hint="eastAsia" w:hAnsi="华文宋体"/>
          <w:szCs w:val="32"/>
          <w:lang w:val="en-US" w:eastAsia="zh-CN"/>
        </w:rPr>
        <w:t>1</w:t>
      </w:r>
      <w:r>
        <w:rPr>
          <w:rFonts w:hAnsi="华文宋体"/>
          <w:szCs w:val="32"/>
        </w:rPr>
        <w:t>月</w:t>
      </w:r>
      <w:r>
        <w:rPr>
          <w:rFonts w:hint="eastAsia" w:hAnsi="华文宋体"/>
          <w:szCs w:val="32"/>
          <w:lang w:val="en-US" w:eastAsia="zh-CN"/>
        </w:rPr>
        <w:t>8</w:t>
      </w:r>
      <w:r>
        <w:rPr>
          <w:rFonts w:hAnsi="华文宋体"/>
          <w:szCs w:val="32"/>
        </w:rPr>
        <w:t>日</w:t>
      </w:r>
    </w:p>
    <w:p>
      <w:pPr>
        <w:keepNext w:val="0"/>
        <w:keepLines w:val="0"/>
        <w:pageBreakBefore w:val="0"/>
        <w:kinsoku/>
        <w:wordWrap/>
        <w:topLinePunct w:val="0"/>
        <w:autoSpaceDN/>
        <w:bidi w:val="0"/>
        <w:adjustRightInd w:val="0"/>
        <w:snapToGrid w:val="0"/>
        <w:spacing w:line="560" w:lineRule="atLeast"/>
        <w:textAlignment w:val="auto"/>
      </w:pPr>
      <w:r>
        <w:br w:type="page"/>
      </w:r>
    </w:p>
    <w:p>
      <w:pPr>
        <w:keepNext w:val="0"/>
        <w:keepLines w:val="0"/>
        <w:pageBreakBefore w:val="0"/>
        <w:kinsoku/>
        <w:wordWrap/>
        <w:topLinePunct w:val="0"/>
        <w:autoSpaceDE w:val="0"/>
        <w:autoSpaceDN/>
        <w:bidi w:val="0"/>
        <w:adjustRightInd w:val="0"/>
        <w:snapToGrid w:val="0"/>
        <w:spacing w:beforeAutospacing="0" w:afterAutospacing="0" w:line="560" w:lineRule="atLeast"/>
        <w:jc w:val="center"/>
        <w:textAlignment w:val="auto"/>
        <w:rPr>
          <w:rFonts w:hint="eastAsia" w:ascii="仿宋_GB2312" w:eastAsia="仿宋_GB2312"/>
          <w:sz w:val="44"/>
          <w:szCs w:val="44"/>
        </w:rPr>
      </w:pPr>
      <w:r>
        <w:rPr>
          <w:rFonts w:hint="eastAsia" w:ascii="方正小标宋简体" w:eastAsia="方正小标宋简体"/>
          <w:sz w:val="44"/>
          <w:szCs w:val="44"/>
        </w:rPr>
        <w:t>滨海新区2021年教育体育工作要点</w:t>
      </w:r>
    </w:p>
    <w:p>
      <w:pPr>
        <w:pStyle w:val="6"/>
        <w:keepNext w:val="0"/>
        <w:keepLines w:val="0"/>
        <w:pageBreakBefore w:val="0"/>
        <w:kinsoku/>
        <w:wordWrap/>
        <w:topLinePunct w:val="0"/>
        <w:autoSpaceDE w:val="0"/>
        <w:autoSpaceDN/>
        <w:bidi w:val="0"/>
        <w:adjustRightInd w:val="0"/>
        <w:snapToGrid w:val="0"/>
        <w:spacing w:beforeAutospacing="0" w:afterAutospacing="0" w:line="560" w:lineRule="atLeast"/>
        <w:ind w:firstLine="720"/>
        <w:textAlignment w:val="auto"/>
        <w:rPr>
          <w:rFonts w:hint="eastAsia" w:ascii="仿宋_GB2312" w:eastAsia="仿宋_GB2312"/>
          <w:color w:val="000000"/>
          <w:kern w:val="0"/>
          <w:sz w:val="32"/>
          <w:szCs w:val="32"/>
        </w:rPr>
      </w:pP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0" w:firstLineChars="200"/>
        <w:textAlignment w:val="auto"/>
        <w:rPr>
          <w:rFonts w:hint="eastAsia" w:ascii="仿宋_GB2312" w:eastAsia="仿宋_GB2312"/>
          <w:sz w:val="32"/>
          <w:szCs w:val="32"/>
        </w:rPr>
      </w:pPr>
      <w:r>
        <w:rPr>
          <w:rFonts w:hint="eastAsia" w:ascii="仿宋_GB2312" w:eastAsia="仿宋_GB2312"/>
          <w:color w:val="000000"/>
          <w:kern w:val="0"/>
          <w:sz w:val="32"/>
          <w:szCs w:val="32"/>
        </w:rPr>
        <w:t>2021年全区教育体育工作的总体要求是:</w:t>
      </w:r>
      <w:r>
        <w:rPr>
          <w:rFonts w:hint="eastAsia" w:ascii="仿宋_GB2312" w:eastAsia="仿宋_GB2312"/>
          <w:sz w:val="32"/>
          <w:szCs w:val="32"/>
        </w:rPr>
        <w:t xml:space="preserve"> 坚持以习近平新时代中国特色社会主义思想为指导，深入贯彻党的十九大和十九届二中、三中、四中、五中全会精神，按照市委十一届九次全会、十次全会</w:t>
      </w:r>
      <w:r>
        <w:rPr>
          <w:rFonts w:hint="eastAsia" w:ascii="仿宋_GB2312" w:eastAsia="仿宋_GB2312"/>
          <w:color w:val="000000"/>
          <w:kern w:val="0"/>
          <w:sz w:val="32"/>
          <w:szCs w:val="32"/>
        </w:rPr>
        <w:t>和区委三届十二次、十三次全会的部署要求,</w:t>
      </w:r>
      <w:r>
        <w:rPr>
          <w:rFonts w:hint="eastAsia" w:ascii="仿宋_GB2312" w:eastAsia="仿宋_GB2312"/>
          <w:sz w:val="32"/>
          <w:szCs w:val="32"/>
        </w:rPr>
        <w:t>加强党对教育体育工作的全面领导，坚持社会主义办学方向，全面贯彻党的教育方针，落实立德树人根本任务，提升育人质量，促进教育公平，建设高质量教育体系，增强服务支撑能力，推进教育治理体系和治理能力现代化，着力培养担当民族复兴大任的时代新人，努力办好人民满意的教育体育事业，以优异成绩向建党100周年献礼。</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0" w:firstLineChars="200"/>
        <w:textAlignment w:val="auto"/>
        <w:rPr>
          <w:rFonts w:hint="eastAsia" w:ascii="黑体" w:hAnsi="黑体" w:eastAsia="黑体"/>
          <w:sz w:val="32"/>
          <w:szCs w:val="32"/>
        </w:rPr>
      </w:pPr>
      <w:r>
        <w:rPr>
          <w:rFonts w:hint="eastAsia" w:ascii="黑体" w:hAnsi="黑体" w:eastAsia="黑体"/>
          <w:sz w:val="32"/>
          <w:szCs w:val="32"/>
        </w:rPr>
        <w:t>一、深入贯彻习近平新时代中国特色社会主义思想，加强党对教育工作的全面领导</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1.深入学习贯彻党的十九届五中全会精神。</w:t>
      </w:r>
      <w:r>
        <w:rPr>
          <w:rFonts w:hint="eastAsia" w:ascii="仿宋_GB2312" w:eastAsia="仿宋_GB2312"/>
          <w:sz w:val="32"/>
          <w:szCs w:val="32"/>
        </w:rPr>
        <w:t>将习近平新时代中国特色社会主义思想、党的十九届五中全会、中央经济工作会议和市委十一届九次、十次全会和</w:t>
      </w:r>
      <w:r>
        <w:rPr>
          <w:rFonts w:hint="eastAsia" w:ascii="仿宋_GB2312" w:eastAsia="仿宋_GB2312"/>
          <w:color w:val="000000"/>
          <w:kern w:val="0"/>
          <w:sz w:val="32"/>
          <w:szCs w:val="32"/>
        </w:rPr>
        <w:t>区委三届十二次、十三次全会</w:t>
      </w:r>
      <w:r>
        <w:rPr>
          <w:rFonts w:hint="eastAsia" w:ascii="仿宋_GB2312" w:eastAsia="仿宋_GB2312"/>
          <w:sz w:val="32"/>
          <w:szCs w:val="32"/>
        </w:rPr>
        <w:t>精神，作为当前和今后一个时期的重大政治任务，纳入全系统党员干部和教职工教育培训，列为学校思想政治教育和课堂教学的重要内容，开展多种形式的宣讲活动，切实增强“四个意识”，坚定“四个自信”，坚决做到“两个维护”。</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2.全面加强全系统党的政治建设。</w:t>
      </w:r>
      <w:r>
        <w:rPr>
          <w:rFonts w:hint="eastAsia" w:ascii="仿宋_GB2312" w:eastAsia="仿宋_GB2312"/>
          <w:sz w:val="32"/>
          <w:szCs w:val="32"/>
        </w:rPr>
        <w:t>巩固深化“不忘初心、牢记使命”主题教育成果。制定关于建立中小学校党组织领导的校长负责制的实施方案，在全区公办中小学校</w:t>
      </w:r>
      <w:r>
        <w:rPr>
          <w:rFonts w:hint="eastAsia" w:ascii="仿宋_GB2312" w:eastAsia="仿宋_GB2312"/>
          <w:sz w:val="32"/>
          <w:szCs w:val="32"/>
          <w:lang w:eastAsia="zh-CN"/>
        </w:rPr>
        <w:t>逐步</w:t>
      </w:r>
      <w:r>
        <w:rPr>
          <w:rFonts w:hint="eastAsia" w:ascii="仿宋_GB2312" w:eastAsia="仿宋_GB2312"/>
          <w:sz w:val="32"/>
          <w:szCs w:val="32"/>
        </w:rPr>
        <w:t>推行党组织领导的校长负责制。</w:t>
      </w:r>
      <w:r>
        <w:rPr>
          <w:rFonts w:hint="eastAsia" w:ascii="仿宋_GB2312" w:eastAsia="仿宋_GB2312"/>
          <w:color w:val="000000"/>
          <w:sz w:val="32"/>
          <w:szCs w:val="32"/>
        </w:rPr>
        <w:t>增强党组织把方向、管大局、做决策、抓班子、带队伍、保落实的能力。</w:t>
      </w:r>
      <w:r>
        <w:rPr>
          <w:rFonts w:hint="eastAsia" w:ascii="仿宋_GB2312" w:eastAsia="仿宋_GB2312"/>
          <w:sz w:val="32"/>
          <w:szCs w:val="32"/>
        </w:rPr>
        <w:t>落实民办学校党建工作重点任务清单。逐级开展党组织书记抓基层党建述职评议考核工作。</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3.加强领导班子和干部队伍建设。</w:t>
      </w:r>
      <w:r>
        <w:rPr>
          <w:rFonts w:hint="eastAsia" w:ascii="仿宋_GB2312" w:eastAsia="仿宋_GB2312"/>
          <w:sz w:val="32"/>
          <w:szCs w:val="32"/>
        </w:rPr>
        <w:t>研究建立政治素质识别和评价机制，突出政治素质考察，优化改进干部考察识别方式。强化干部目标考核评价，做好干部选拔任用工作，开展满意度调查和“一报告两评议”工作。创新教育人才评价机制，抓好高层次人才引进和培养工作。</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4.加强意识形态工作。</w:t>
      </w:r>
      <w:r>
        <w:rPr>
          <w:rFonts w:hint="eastAsia" w:ascii="仿宋_GB2312" w:eastAsia="仿宋_GB2312"/>
          <w:sz w:val="32"/>
          <w:szCs w:val="32"/>
        </w:rPr>
        <w:t>严格落实意识形态工作责任制，</w:t>
      </w:r>
      <w:r>
        <w:rPr>
          <w:rFonts w:hint="eastAsia" w:ascii="仿宋_GB2312" w:eastAsia="仿宋_GB2312"/>
          <w:color w:val="000000"/>
          <w:sz w:val="32"/>
          <w:szCs w:val="32"/>
        </w:rPr>
        <w:t>压实学校党组织统筹领导和推动意识形态工作的主体责任。</w:t>
      </w:r>
      <w:r>
        <w:rPr>
          <w:rFonts w:hint="eastAsia" w:ascii="仿宋_GB2312" w:eastAsia="仿宋_GB2312"/>
          <w:sz w:val="32"/>
          <w:szCs w:val="32"/>
        </w:rPr>
        <w:t>加强意识形态阵地建设和管理。坚决抵御和防范宗教邪教向校园渗透。健全舆情预防预警体系和应急处置机制，强化对干部职工网络行为的教育引导管理，维护网络意识形态安全。</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5.纵深推进全面从严治党。</w:t>
      </w:r>
      <w:r>
        <w:rPr>
          <w:rFonts w:hint="eastAsia" w:ascii="仿宋_GB2312" w:eastAsia="仿宋_GB2312"/>
          <w:sz w:val="32"/>
          <w:szCs w:val="32"/>
        </w:rPr>
        <w:t>落实全面从严治党主体责任，建立问题清单、任务清单、责任清单，突出“人事因制”抓整改，确保见底见效。聚焦化解重点领域风险，抓好“以案促改”。推进警示教育常态化制度化，深化运用监督执纪“四种形态”，强化监督执纪问责，锲而不舍落实中央八项规定精神，严防“四风”反弹回潮，力戒形式主义、官僚主义。紧盯重要时间节点、关键环节开展监督检查，严肃查处群众身边的“微腐败”行为。</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0" w:firstLineChars="200"/>
        <w:textAlignment w:val="auto"/>
        <w:rPr>
          <w:rFonts w:hint="eastAsia" w:ascii="黑体" w:hAnsi="黑体" w:eastAsia="黑体"/>
          <w:sz w:val="32"/>
          <w:szCs w:val="32"/>
        </w:rPr>
      </w:pPr>
      <w:r>
        <w:rPr>
          <w:rFonts w:hint="eastAsia" w:ascii="黑体" w:hAnsi="黑体" w:eastAsia="黑体"/>
          <w:sz w:val="32"/>
          <w:szCs w:val="32"/>
        </w:rPr>
        <w:t>二、坚持立德树人，促进德智体美劳全面发展</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6.构建一体化思想政治工作体系。</w:t>
      </w:r>
      <w:r>
        <w:rPr>
          <w:rFonts w:hint="eastAsia" w:ascii="仿宋_GB2312" w:eastAsia="仿宋_GB2312"/>
          <w:sz w:val="32"/>
          <w:szCs w:val="32"/>
        </w:rPr>
        <w:t>认真落实《深化新时代思政课改革创新的若干举措》，推动《滨海新区教体局深化新时代学校思想政治理论课改革创新先行试点工作实施方案》各项任务落实。完善领导干部联系学校开展思想政治教育常态化机制。深化“三爱”“四史”教育，形成常态化教育机制。开展庆祝建党100周年主题教育实践活动。充分利用新区独有的各类教育资源，加强思政课教育基地和思政课程资源库建设。落实心理健康教育阳光行动“十项任务”。加强校园精神文明建设，落实“六个好”创建标准。</w:t>
      </w:r>
      <w:r>
        <w:rPr>
          <w:rFonts w:hint="eastAsia" w:ascii="仿宋_GB2312" w:eastAsia="仿宋_GB2312"/>
          <w:sz w:val="32"/>
          <w:szCs w:val="32"/>
          <w:lang w:val="en-US" w:eastAsia="zh-CN"/>
        </w:rPr>
        <w:t>按照文明城区建设长效机制要求，进一步</w:t>
      </w:r>
      <w:r>
        <w:rPr>
          <w:rFonts w:hint="eastAsia" w:ascii="仿宋_GB2312" w:eastAsia="仿宋_GB2312"/>
          <w:sz w:val="32"/>
          <w:szCs w:val="32"/>
          <w:lang w:eastAsia="zh-CN"/>
        </w:rPr>
        <w:t>深化文明校园创建工作，落实“六个好”创建标准。</w:t>
      </w:r>
      <w:r>
        <w:rPr>
          <w:rFonts w:hint="eastAsia" w:ascii="仿宋_GB2312" w:eastAsia="仿宋_GB2312"/>
          <w:sz w:val="32"/>
          <w:szCs w:val="32"/>
        </w:rPr>
        <w:t>开展志愿服务活动，唱响主旋律，弘扬正能量。</w:t>
      </w:r>
      <w:r>
        <w:rPr>
          <w:rFonts w:hint="eastAsia" w:ascii="仿宋_GB2312" w:eastAsia="仿宋_GB2312"/>
          <w:sz w:val="32"/>
          <w:szCs w:val="32"/>
          <w:lang w:val="en-US" w:eastAsia="zh-CN"/>
        </w:rPr>
        <w:t>开展双拥工作，促进军民融合发展。</w:t>
      </w:r>
      <w:r>
        <w:rPr>
          <w:rFonts w:hint="eastAsia" w:ascii="仿宋_GB2312" w:eastAsia="仿宋_GB2312"/>
          <w:sz w:val="32"/>
          <w:szCs w:val="32"/>
        </w:rPr>
        <w:t>加强诚信教育、民族团结教育、国家安全教育、国防教育。</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705"/>
        <w:jc w:val="left"/>
        <w:textAlignment w:val="auto"/>
        <w:rPr>
          <w:rFonts w:hint="eastAsia" w:ascii="仿宋_GB2312" w:eastAsia="仿宋_GB2312"/>
          <w:sz w:val="32"/>
          <w:szCs w:val="32"/>
        </w:rPr>
      </w:pPr>
      <w:r>
        <w:rPr>
          <w:rFonts w:hint="eastAsia" w:ascii="仿宋_GB2312" w:eastAsia="仿宋_GB2312"/>
          <w:b/>
          <w:bCs/>
          <w:sz w:val="32"/>
          <w:szCs w:val="32"/>
        </w:rPr>
        <w:t>7.提升学生体质健康水平。</w:t>
      </w:r>
      <w:r>
        <w:rPr>
          <w:rFonts w:hint="eastAsia" w:ascii="仿宋_GB2312" w:eastAsia="仿宋_GB2312"/>
          <w:sz w:val="32"/>
          <w:szCs w:val="32"/>
        </w:rPr>
        <w:t>落实《提升中小学生体质健康水平十条措施》，对开足开齐体育课、开展大课间活动情况进行督导检查。完善学校体育“健康知识+基本运动技能+专项运动技能”教学模式，将达到国家学生体质健康标准要求作为</w:t>
      </w:r>
      <w:r>
        <w:rPr>
          <w:rFonts w:hint="eastAsia" w:ascii="仿宋_GB2312" w:eastAsia="仿宋_GB2312"/>
          <w:sz w:val="32"/>
          <w:szCs w:val="32"/>
          <w:lang w:val="en-US" w:eastAsia="zh-CN"/>
        </w:rPr>
        <w:t>学校体育工作考核</w:t>
      </w:r>
      <w:r>
        <w:rPr>
          <w:rFonts w:hint="eastAsia" w:ascii="仿宋_GB2312" w:eastAsia="仿宋_GB2312"/>
          <w:sz w:val="32"/>
          <w:szCs w:val="32"/>
        </w:rPr>
        <w:t>的重要内容。推动中小学校客观记录学生日常体育参与情况和体质健康监测结果并向家长反馈。制定《滨海新区中小学心理健康教育三年工作规划》，推进心理健康教育师资全员培训。</w:t>
      </w:r>
      <w:r>
        <w:rPr>
          <w:rFonts w:hint="eastAsia" w:ascii="仿宋_GB2312" w:eastAsia="仿宋_GB2312"/>
          <w:sz w:val="32"/>
          <w:szCs w:val="32"/>
          <w:lang w:val="en-US" w:eastAsia="zh-CN"/>
        </w:rPr>
        <w:t>加强学校卫生工作，</w:t>
      </w:r>
      <w:r>
        <w:rPr>
          <w:rFonts w:hint="eastAsia" w:ascii="仿宋_GB2312" w:eastAsia="仿宋_GB2312"/>
          <w:sz w:val="32"/>
          <w:szCs w:val="32"/>
        </w:rPr>
        <w:t>严格执行综合防控儿童青少年近视工作方案，确保全区儿童青少年总体近视率在2020年基础上降低1个百分点。</w:t>
      </w:r>
    </w:p>
    <w:p>
      <w:pPr>
        <w:pStyle w:val="2"/>
        <w:keepNext w:val="0"/>
        <w:keepLines w:val="0"/>
        <w:pageBreakBefore w:val="0"/>
        <w:kinsoku/>
        <w:wordWrap/>
        <w:topLinePunct w:val="0"/>
        <w:autoSpaceDE w:val="0"/>
        <w:autoSpaceDN/>
        <w:bidi w:val="0"/>
        <w:adjustRightInd w:val="0"/>
        <w:snapToGrid w:val="0"/>
        <w:spacing w:before="0" w:beforeAutospacing="0" w:after="0" w:afterAutospacing="0" w:line="560" w:lineRule="atLeast"/>
        <w:ind w:firstLine="705"/>
        <w:textAlignment w:val="auto"/>
        <w:rPr>
          <w:rFonts w:hint="eastAsia" w:ascii="仿宋_GB2312" w:eastAsia="仿宋_GB2312"/>
          <w:sz w:val="32"/>
          <w:szCs w:val="32"/>
        </w:rPr>
      </w:pPr>
      <w:r>
        <w:rPr>
          <w:rFonts w:hint="eastAsia" w:ascii="仿宋_GB2312" w:eastAsia="仿宋_GB2312"/>
          <w:b/>
          <w:bCs/>
          <w:sz w:val="32"/>
          <w:szCs w:val="32"/>
        </w:rPr>
        <w:t>8.改进学校美育工作。</w:t>
      </w:r>
      <w:r>
        <w:rPr>
          <w:rFonts w:hint="eastAsia" w:ascii="仿宋_GB2312" w:eastAsia="仿宋_GB2312"/>
          <w:sz w:val="32"/>
          <w:szCs w:val="32"/>
        </w:rPr>
        <w:t>实施学校美育质量提升工程，严格按照国家课程方案和课程标准开齐开足艺术课程。进一步推进校园版画地方课程建设，打造新区学校艺术教育特色品牌。以建党100周年为主题，开展2021年滨海新区学校文艺展演合唱节、器乐节、舞蹈节、戏剧节和师生书画大赛等活动。继续开展高雅艺术和戏曲进校园活动，切实开拓学生艺术眼界，提高艺术修养。举办中华优秀传统文化艺术工作现场会，不断扩大传承项目在中小学校的覆盖面和参与面，切实将中华优秀传统文化艺术全方位融入学校美育全过程。</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9.加强学校劳动教育。</w:t>
      </w:r>
      <w:r>
        <w:rPr>
          <w:rFonts w:hint="eastAsia" w:ascii="仿宋_GB2312" w:eastAsia="仿宋_GB2312"/>
          <w:sz w:val="32"/>
          <w:szCs w:val="32"/>
        </w:rPr>
        <w:t>落实全面加强新时代大中小学劳动教育的若干措施及劳动教育课程建设指南，开齐开足劳动教育课程，制定《全面加强新时代中小学劳动教育的实施方案》，</w:t>
      </w:r>
      <w:r>
        <w:rPr>
          <w:rFonts w:hint="eastAsia" w:ascii="仿宋_GB2312" w:eastAsia="仿宋_GB2312"/>
          <w:color w:val="000000"/>
          <w:sz w:val="32"/>
          <w:szCs w:val="32"/>
        </w:rPr>
        <w:t>完善社区服务岗、校园劳动岗、家庭劳动岗等岗位职责，为学生参加劳动实践、学雷锋等志愿服务和社会公益活动提供必要平台，</w:t>
      </w:r>
      <w:r>
        <w:rPr>
          <w:rFonts w:hint="eastAsia" w:ascii="仿宋_GB2312" w:eastAsia="仿宋_GB2312"/>
          <w:sz w:val="32"/>
          <w:szCs w:val="32"/>
        </w:rPr>
        <w:t>引导学生崇尚劳动，尊重劳动，弘扬劳动精神，养成劳动习惯。推动区级劳动教育基地建设。</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10.完善家校共育机制。</w:t>
      </w:r>
      <w:r>
        <w:rPr>
          <w:rFonts w:hint="eastAsia" w:ascii="仿宋_GB2312" w:eastAsia="仿宋_GB2312"/>
          <w:color w:val="000000"/>
          <w:sz w:val="32"/>
          <w:szCs w:val="32"/>
        </w:rPr>
        <w:t>指导家长培养孩子优良品质和健康人格，提高家长家庭教育水平，促进孩子健康成长，促进家庭和睦、社会稳定。规范家庭教育，完善家长委员会制度、家访制度、家校沟通制度。开展主题活动，优化亲子关系，促进家校沟通。办好家长学校，提高家长在政治思想教育、心理健康教育、法律法规教育、勤俭节约教育等方面的教育能力。</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0" w:firstLineChars="200"/>
        <w:textAlignment w:val="auto"/>
        <w:rPr>
          <w:rFonts w:hint="eastAsia" w:ascii="黑体" w:hAnsi="黑体" w:eastAsia="黑体"/>
          <w:sz w:val="32"/>
          <w:szCs w:val="32"/>
        </w:rPr>
      </w:pPr>
      <w:r>
        <w:rPr>
          <w:rFonts w:hint="eastAsia" w:ascii="黑体" w:hAnsi="黑体" w:eastAsia="黑体"/>
          <w:sz w:val="32"/>
          <w:szCs w:val="32"/>
        </w:rPr>
        <w:t>三、坚持公平普惠，提升优质均衡发展水平</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11.推进学前教育优质普惠安全发展。</w:t>
      </w:r>
      <w:r>
        <w:rPr>
          <w:rFonts w:hint="eastAsia" w:ascii="仿宋_GB2312" w:eastAsia="仿宋_GB2312"/>
          <w:sz w:val="32"/>
          <w:szCs w:val="32"/>
        </w:rPr>
        <w:t>巩固学前教育资源建设成果，增加城区公办园，减少民办托幼点，优化学前教育资源布局。落实普惠性民办幼儿园</w:t>
      </w:r>
      <w:r>
        <w:rPr>
          <w:rFonts w:hint="eastAsia" w:ascii="仿宋_GB2312" w:eastAsia="仿宋_GB2312"/>
          <w:kern w:val="0"/>
          <w:sz w:val="32"/>
          <w:szCs w:val="32"/>
        </w:rPr>
        <w:t>分等级补助政策</w:t>
      </w:r>
      <w:r>
        <w:rPr>
          <w:rFonts w:hint="eastAsia" w:ascii="仿宋_GB2312" w:eastAsia="仿宋_GB2312"/>
          <w:sz w:val="32"/>
          <w:szCs w:val="32"/>
        </w:rPr>
        <w:t>，扶持规范民办幼儿园。</w:t>
      </w:r>
      <w:r>
        <w:rPr>
          <w:rFonts w:hint="eastAsia" w:ascii="仿宋_GB2312" w:eastAsia="仿宋_GB2312"/>
          <w:color w:val="000000"/>
          <w:sz w:val="32"/>
          <w:szCs w:val="32"/>
        </w:rPr>
        <w:t>实施保教质量提升项目，发挥示范幼儿园辐射带动作用，探索</w:t>
      </w:r>
      <w:r>
        <w:rPr>
          <w:rFonts w:hint="eastAsia" w:ascii="仿宋_GB2312" w:eastAsia="仿宋_GB2312"/>
          <w:sz w:val="32"/>
          <w:szCs w:val="32"/>
        </w:rPr>
        <w:t>幼儿园结对帮扶薄弱园、农村园、民办园机制，</w:t>
      </w:r>
      <w:r>
        <w:rPr>
          <w:rFonts w:hint="eastAsia" w:ascii="仿宋_GB2312" w:eastAsia="仿宋_GB2312"/>
          <w:color w:val="000000"/>
          <w:sz w:val="32"/>
          <w:szCs w:val="32"/>
        </w:rPr>
        <w:t>完善集团化办园管理模式</w:t>
      </w:r>
      <w:r>
        <w:rPr>
          <w:rFonts w:hint="eastAsia" w:ascii="仿宋_GB2312" w:eastAsia="仿宋_GB2312"/>
          <w:sz w:val="32"/>
          <w:szCs w:val="32"/>
        </w:rPr>
        <w:t>。发挥区、幼儿园视频监控系统功能作用，提升幼儿园安全监管水平。</w:t>
      </w:r>
      <w:r>
        <w:rPr>
          <w:rFonts w:hint="eastAsia" w:ascii="仿宋_GB2312" w:eastAsia="仿宋_GB2312"/>
          <w:sz w:val="32"/>
          <w:szCs w:val="32"/>
          <w:lang w:eastAsia="zh-CN"/>
        </w:rPr>
        <w:t>继续开展</w:t>
      </w:r>
      <w:r>
        <w:rPr>
          <w:rFonts w:hint="eastAsia" w:ascii="仿宋_GB2312" w:eastAsia="仿宋_GB2312"/>
          <w:sz w:val="32"/>
          <w:szCs w:val="32"/>
        </w:rPr>
        <w:t>幼儿园办园行为督导评估工作，</w:t>
      </w:r>
      <w:r>
        <w:rPr>
          <w:rFonts w:hint="eastAsia" w:ascii="仿宋_GB2312" w:eastAsia="仿宋_GB2312"/>
          <w:sz w:val="32"/>
          <w:szCs w:val="32"/>
          <w:lang w:eastAsia="zh-CN"/>
        </w:rPr>
        <w:t>积极推动</w:t>
      </w:r>
      <w:r>
        <w:rPr>
          <w:rFonts w:hint="eastAsia" w:ascii="仿宋_GB2312" w:eastAsia="仿宋_GB2312"/>
          <w:sz w:val="32"/>
          <w:szCs w:val="32"/>
        </w:rPr>
        <w:t>学前教育普及普惠</w:t>
      </w:r>
      <w:r>
        <w:rPr>
          <w:rFonts w:hint="eastAsia" w:ascii="仿宋_GB2312" w:eastAsia="仿宋_GB2312"/>
          <w:sz w:val="32"/>
          <w:szCs w:val="32"/>
          <w:lang w:eastAsia="zh-CN"/>
        </w:rPr>
        <w:t>发展</w:t>
      </w:r>
      <w:r>
        <w:rPr>
          <w:rFonts w:hint="eastAsia" w:ascii="仿宋_GB2312" w:eastAsia="仿宋_GB2312"/>
          <w:sz w:val="32"/>
          <w:szCs w:val="32"/>
        </w:rPr>
        <w:t>。</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12.推进城乡义务教育一体化优质均衡发展。</w:t>
      </w:r>
      <w:r>
        <w:rPr>
          <w:rFonts w:hint="eastAsia" w:ascii="仿宋_GB2312" w:eastAsia="仿宋_GB2312"/>
          <w:b w:val="0"/>
          <w:bCs w:val="0"/>
          <w:sz w:val="32"/>
          <w:szCs w:val="32"/>
          <w:lang w:eastAsia="zh-CN"/>
        </w:rPr>
        <w:t>出台</w:t>
      </w:r>
      <w:r>
        <w:rPr>
          <w:rFonts w:hint="eastAsia" w:ascii="仿宋_GB2312" w:eastAsia="仿宋_GB2312"/>
          <w:color w:val="000000"/>
          <w:kern w:val="0"/>
          <w:sz w:val="32"/>
          <w:szCs w:val="32"/>
        </w:rPr>
        <w:t>《滨海新区推进义务教育优质均衡发展</w:t>
      </w:r>
      <w:r>
        <w:rPr>
          <w:rFonts w:hint="eastAsia" w:ascii="仿宋_GB2312" w:eastAsia="仿宋_GB2312"/>
          <w:color w:val="000000"/>
          <w:kern w:val="0"/>
          <w:sz w:val="32"/>
          <w:szCs w:val="32"/>
          <w:lang w:eastAsia="zh-CN"/>
        </w:rPr>
        <w:t>攻坚</w:t>
      </w:r>
      <w:r>
        <w:rPr>
          <w:rFonts w:hint="eastAsia" w:ascii="仿宋_GB2312" w:eastAsia="仿宋_GB2312"/>
          <w:color w:val="000000"/>
          <w:kern w:val="0"/>
          <w:sz w:val="32"/>
          <w:szCs w:val="32"/>
        </w:rPr>
        <w:t>行动方案》，</w:t>
      </w:r>
      <w:r>
        <w:rPr>
          <w:rFonts w:hint="eastAsia" w:ascii="仿宋_GB2312" w:eastAsia="仿宋_GB2312"/>
          <w:color w:val="000000"/>
          <w:kern w:val="0"/>
          <w:sz w:val="32"/>
          <w:szCs w:val="32"/>
          <w:lang w:eastAsia="zh-CN"/>
        </w:rPr>
        <w:t>启动实施</w:t>
      </w:r>
      <w:r>
        <w:rPr>
          <w:rFonts w:hint="eastAsia" w:ascii="仿宋_GB2312" w:eastAsia="仿宋_GB2312"/>
          <w:color w:val="000000"/>
          <w:kern w:val="0"/>
          <w:sz w:val="32"/>
          <w:szCs w:val="32"/>
        </w:rPr>
        <w:t>义务教育优质均衡发展</w:t>
      </w:r>
      <w:r>
        <w:rPr>
          <w:rFonts w:hint="eastAsia" w:ascii="仿宋_GB2312" w:eastAsia="仿宋_GB2312"/>
          <w:color w:val="000000"/>
          <w:kern w:val="0"/>
          <w:sz w:val="32"/>
          <w:szCs w:val="32"/>
          <w:lang w:eastAsia="zh-CN"/>
        </w:rPr>
        <w:t>攻坚</w:t>
      </w:r>
      <w:r>
        <w:rPr>
          <w:rFonts w:hint="eastAsia" w:ascii="仿宋_GB2312" w:eastAsia="仿宋_GB2312"/>
          <w:color w:val="000000"/>
          <w:kern w:val="0"/>
          <w:sz w:val="32"/>
          <w:szCs w:val="32"/>
        </w:rPr>
        <w:t>行动</w:t>
      </w:r>
      <w:r>
        <w:rPr>
          <w:rFonts w:hint="eastAsia" w:ascii="仿宋_GB2312" w:eastAsia="仿宋_GB2312"/>
          <w:color w:val="000000"/>
          <w:kern w:val="0"/>
          <w:sz w:val="32"/>
          <w:szCs w:val="32"/>
          <w:lang w:eastAsia="zh-CN"/>
        </w:rPr>
        <w:t>，全力推进区域</w:t>
      </w:r>
      <w:r>
        <w:rPr>
          <w:rFonts w:hint="eastAsia" w:ascii="仿宋_GB2312" w:eastAsia="仿宋_GB2312"/>
          <w:color w:val="000000"/>
          <w:kern w:val="0"/>
          <w:sz w:val="32"/>
          <w:szCs w:val="32"/>
        </w:rPr>
        <w:t>义务教育优质均衡发展</w:t>
      </w:r>
      <w:r>
        <w:rPr>
          <w:rFonts w:hint="eastAsia" w:ascii="仿宋_GB2312" w:eastAsia="仿宋_GB2312"/>
          <w:color w:val="000000"/>
          <w:kern w:val="0"/>
          <w:sz w:val="32"/>
          <w:szCs w:val="32"/>
          <w:lang w:eastAsia="zh-CN"/>
        </w:rPr>
        <w:t>。</w:t>
      </w:r>
      <w:r>
        <w:rPr>
          <w:rFonts w:hint="eastAsia" w:ascii="仿宋_GB2312" w:eastAsia="仿宋_GB2312"/>
          <w:sz w:val="32"/>
          <w:szCs w:val="32"/>
        </w:rPr>
        <w:t>改造C级校舍，提升体育运动场馆，配置教学仪器。推进特殊教育融合发展，提升随班就读、送教上门服务水平，健全医教结合机制。</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13. 深化普通高中育人方式改革。</w:t>
      </w:r>
      <w:r>
        <w:rPr>
          <w:rFonts w:hint="eastAsia" w:ascii="仿宋_GB2312" w:eastAsia="仿宋_GB2312"/>
          <w:sz w:val="32"/>
          <w:szCs w:val="32"/>
        </w:rPr>
        <w:t>推进“品牌高中”建设，促进普通高中多样化特色发展。落实普通高中新课程实施方案，完善选课走班教学管理机制，深化课堂教学改革，探索跨学科综合性教学，开展验证性实验和探究性实验教学。优化高中学校布局，扩大资源供给。</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0" w:firstLineChars="200"/>
        <w:textAlignment w:val="auto"/>
        <w:rPr>
          <w:rFonts w:hint="eastAsia" w:ascii="黑体" w:hAnsi="黑体" w:eastAsia="黑体"/>
          <w:sz w:val="32"/>
          <w:szCs w:val="32"/>
        </w:rPr>
      </w:pPr>
      <w:r>
        <w:rPr>
          <w:rFonts w:hint="eastAsia" w:ascii="黑体" w:hAnsi="黑体" w:eastAsia="黑体"/>
          <w:sz w:val="32"/>
          <w:szCs w:val="32"/>
        </w:rPr>
        <w:t>四、加快新动能引育，增强职业教育和高等教育支撑服务能力</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5"/>
        <w:textAlignment w:val="auto"/>
        <w:rPr>
          <w:rFonts w:hint="eastAsia" w:ascii="仿宋_GB2312" w:eastAsia="仿宋_GB2312" w:cs="仿宋_GB2312-WinCharSetFFFF-H"/>
          <w:color w:val="000000"/>
          <w:kern w:val="0"/>
          <w:sz w:val="32"/>
          <w:szCs w:val="32"/>
        </w:rPr>
      </w:pPr>
      <w:r>
        <w:rPr>
          <w:rFonts w:hint="eastAsia" w:ascii="仿宋_GB2312" w:eastAsia="仿宋_GB2312"/>
          <w:b/>
          <w:bCs/>
          <w:color w:val="000000"/>
          <w:sz w:val="32"/>
          <w:szCs w:val="32"/>
        </w:rPr>
        <w:t>14.完善职业教育办学体制机制。</w:t>
      </w:r>
      <w:r>
        <w:rPr>
          <w:rFonts w:hint="eastAsia" w:ascii="仿宋_GB2312" w:eastAsia="仿宋_GB2312"/>
          <w:color w:val="000000"/>
          <w:sz w:val="32"/>
          <w:szCs w:val="32"/>
        </w:rPr>
        <w:t>实施职业教育“双元”育人机制创新，</w:t>
      </w:r>
      <w:r>
        <w:rPr>
          <w:rFonts w:hint="eastAsia" w:ascii="仿宋_GB2312" w:hAnsi="华文仿宋" w:eastAsia="仿宋_GB2312" w:cs="华文仿宋"/>
          <w:color w:val="000000"/>
          <w:sz w:val="32"/>
          <w:szCs w:val="32"/>
        </w:rPr>
        <w:t>充分发挥企业和职业院校的双元主体作用，校企共同研究制定人才培养方案，将新技术、新工艺、新规范纳入教学标准和教学内容，开展校企协同育人。引导职业院校</w:t>
      </w:r>
      <w:r>
        <w:rPr>
          <w:rFonts w:hint="eastAsia" w:ascii="仿宋_GB2312" w:eastAsia="仿宋_GB2312"/>
          <w:sz w:val="32"/>
          <w:szCs w:val="32"/>
        </w:rPr>
        <w:t>对接“1+3+4”产业体系，主动融入产业链、供应链调整，</w:t>
      </w:r>
      <w:r>
        <w:rPr>
          <w:rFonts w:hint="eastAsia" w:ascii="华文仿宋" w:hAnsi="华文仿宋" w:eastAsia="华文仿宋"/>
          <w:color w:val="000000"/>
          <w:sz w:val="32"/>
          <w:szCs w:val="32"/>
        </w:rPr>
        <w:t>形成特色专业（群），推动职业院校专业设置与产业发展有效对接。</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color w:val="000000"/>
          <w:sz w:val="32"/>
          <w:szCs w:val="32"/>
        </w:rPr>
        <w:t>15.积极推</w:t>
      </w:r>
      <w:r>
        <w:rPr>
          <w:rFonts w:hint="eastAsia" w:ascii="仿宋_GB2312" w:eastAsia="仿宋_GB2312"/>
          <w:b/>
          <w:bCs/>
          <w:sz w:val="32"/>
          <w:szCs w:val="32"/>
        </w:rPr>
        <w:t>动高等教育发展。</w:t>
      </w:r>
      <w:r>
        <w:rPr>
          <w:rFonts w:hint="eastAsia" w:ascii="仿宋_GB2312" w:hAnsi="华文仿宋" w:eastAsia="仿宋_GB2312" w:cs="华文仿宋"/>
          <w:color w:val="000000"/>
          <w:sz w:val="32"/>
          <w:szCs w:val="32"/>
        </w:rPr>
        <w:t>支持各类高校特别是京津优质高校与新区各开发区、产业园区共建研究生院、产业（技术）研究院、软件学院等，形成一定数量的与产业对接紧密的产业（技术）研究院和高等教育产学研一体化高科技园区。加强与天津大学、南开大学的合作，</w:t>
      </w:r>
      <w:r>
        <w:rPr>
          <w:rFonts w:hint="eastAsia" w:ascii="仿宋_GB2312" w:eastAsia="仿宋_GB2312"/>
          <w:sz w:val="32"/>
          <w:szCs w:val="32"/>
        </w:rPr>
        <w:t>加快推动天津大学国际医学院落户新区，积极推动南开大学滨海校区筹建工作。</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16.提升继续教育服务能力。</w:t>
      </w:r>
      <w:r>
        <w:rPr>
          <w:rFonts w:hint="eastAsia" w:ascii="仿宋_GB2312" w:eastAsia="仿宋_GB2312"/>
          <w:sz w:val="32"/>
          <w:szCs w:val="32"/>
        </w:rPr>
        <w:t>发挥在线教育优势，提升终身学习网和全民智慧学习平台学习资源供给能力。实施学习型城市建设监测项目。办好第十五届社区教育展示周暨2021年全民终身学习活动周。</w:t>
      </w:r>
    </w:p>
    <w:p>
      <w:pPr>
        <w:keepNext w:val="0"/>
        <w:keepLines w:val="0"/>
        <w:pageBreakBefore w:val="0"/>
        <w:kinsoku/>
        <w:wordWrap/>
        <w:overflowPunct w:val="0"/>
        <w:topLinePunct w:val="0"/>
        <w:autoSpaceDE w:val="0"/>
        <w:autoSpaceDN/>
        <w:bidi w:val="0"/>
        <w:adjustRightInd w:val="0"/>
        <w:snapToGrid w:val="0"/>
        <w:spacing w:beforeAutospacing="0" w:afterAutospacing="0" w:line="560" w:lineRule="atLeast"/>
        <w:ind w:firstLine="640" w:firstLineChars="200"/>
        <w:textAlignment w:val="auto"/>
        <w:rPr>
          <w:rFonts w:hint="eastAsia" w:ascii="黑体" w:hAnsi="黑体" w:eastAsia="黑体"/>
          <w:sz w:val="32"/>
          <w:szCs w:val="32"/>
        </w:rPr>
      </w:pPr>
      <w:r>
        <w:rPr>
          <w:rFonts w:hint="eastAsia" w:ascii="黑体" w:hAnsi="黑体" w:eastAsia="黑体"/>
          <w:sz w:val="32"/>
          <w:szCs w:val="32"/>
        </w:rPr>
        <w:t>五、加强师资队伍建设，提升教师教书育人能力素质</w:t>
      </w:r>
    </w:p>
    <w:p>
      <w:pPr>
        <w:keepNext w:val="0"/>
        <w:keepLines w:val="0"/>
        <w:pageBreakBefore w:val="0"/>
        <w:widowControl w:val="0"/>
        <w:suppressLineNumbers w:val="0"/>
        <w:kinsoku/>
        <w:wordWrap/>
        <w:topLinePunct w:val="0"/>
        <w:autoSpaceDN/>
        <w:bidi w:val="0"/>
        <w:adjustRightInd w:val="0"/>
        <w:snapToGrid w:val="0"/>
        <w:spacing w:before="0" w:beforeAutospacing="0" w:after="0" w:afterAutospacing="0" w:line="560" w:lineRule="atLeast"/>
        <w:ind w:right="0"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17.加强师德师风建设。</w:t>
      </w:r>
      <w:r>
        <w:rPr>
          <w:rFonts w:hint="eastAsia" w:ascii="仿宋_GB2312" w:eastAsia="仿宋_GB2312"/>
          <w:sz w:val="32"/>
          <w:szCs w:val="32"/>
        </w:rPr>
        <w:t>落实《关于加强和改进新时代师德师风建设的意见》，严格执行新时代教师职业行为十项准则，深化师德师风建设工程。</w:t>
      </w:r>
      <w:r>
        <w:rPr>
          <w:rFonts w:hint="eastAsia" w:ascii="仿宋_GB2312" w:eastAsia="仿宋_GB2312"/>
          <w:sz w:val="32"/>
          <w:szCs w:val="32"/>
          <w:lang w:val="en-US" w:eastAsia="zh-CN"/>
        </w:rPr>
        <w:t>继续推行师德承诺书和师德档案制度，通过师德违规及通报情况统计，完善师德失范行为监测、通报警示及责任追究机制。组织各单位（学校、幼儿园）书记、校（园）长讲好“师德必修课”，做好师德讲评工作。</w:t>
      </w:r>
      <w:r>
        <w:rPr>
          <w:rFonts w:hint="eastAsia" w:ascii="仿宋_GB2312" w:eastAsia="仿宋_GB2312"/>
          <w:sz w:val="32"/>
          <w:szCs w:val="32"/>
        </w:rPr>
        <w:t>发挥立德树人先进典型示范带动作用，面向学生和家长社会广泛宣传先进教师感人事迹，弘扬高尚师德，树立滨海新区教育良好声誉和正面形象。</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18.完善区、校教师培训体系</w:t>
      </w:r>
      <w:r>
        <w:rPr>
          <w:rFonts w:hint="eastAsia" w:ascii="仿宋_GB2312" w:eastAsia="仿宋_GB2312"/>
          <w:b/>
          <w:bCs/>
          <w:sz w:val="32"/>
          <w:szCs w:val="32"/>
          <w:lang w:eastAsia="zh-CN"/>
        </w:rPr>
        <w:t>。</w:t>
      </w:r>
      <w:r>
        <w:rPr>
          <w:rFonts w:hint="eastAsia" w:ascii="仿宋_GB2312" w:eastAsia="仿宋_GB2312"/>
          <w:sz w:val="32"/>
          <w:szCs w:val="32"/>
        </w:rPr>
        <w:t>推进第六周期中小学教师全员继续教育</w:t>
      </w:r>
      <w:r>
        <w:rPr>
          <w:rFonts w:hint="eastAsia" w:ascii="仿宋_GB2312" w:eastAsia="仿宋_GB2312"/>
          <w:sz w:val="32"/>
          <w:szCs w:val="32"/>
          <w:lang w:eastAsia="zh-CN"/>
        </w:rPr>
        <w:t>，</w:t>
      </w:r>
      <w:r>
        <w:rPr>
          <w:rFonts w:hint="eastAsia" w:ascii="仿宋_GB2312" w:eastAsia="仿宋_GB2312"/>
          <w:sz w:val="32"/>
          <w:szCs w:val="32"/>
        </w:rPr>
        <w:t>启动新一轮教师培训专项工程，实施第二期追求卓越幼教师资培训项目、中小学教师信息技术应用能力提升工程2.0、中小学校长领导力提升计划。持续实施幼儿园教师和保育员能力提升计划、特殊教育教师培元关爱计划。加强中小学骨干教师队伍建设，完善区、校骨干教师梯队。</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19.强化教师激励管理。</w:t>
      </w:r>
      <w:r>
        <w:rPr>
          <w:rFonts w:hint="eastAsia" w:ascii="仿宋_GB2312" w:eastAsia="仿宋_GB2312"/>
          <w:sz w:val="32"/>
          <w:szCs w:val="32"/>
        </w:rPr>
        <w:t>深化中小学教师“区管校聘”管理改革。完善中小学、幼儿园教师家访制度，将家校联系情况纳入教师考核。落实思政课教师教学质量评价方案，建设中小学思政课名师工作室，研究设立中小学思政课教师岗位奖励绩效和思政课专职教师配备标准。完善中小学教师绩效考核办法，绩效工资分配向班主任倾斜，向教学一线和教育教学效果突出的教师倾斜。</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0" w:firstLineChars="200"/>
        <w:textAlignment w:val="auto"/>
        <w:rPr>
          <w:rFonts w:hint="eastAsia" w:ascii="黑体" w:hAnsi="黑体" w:eastAsia="黑体"/>
          <w:sz w:val="32"/>
          <w:szCs w:val="32"/>
        </w:rPr>
      </w:pPr>
      <w:r>
        <w:rPr>
          <w:rFonts w:hint="eastAsia" w:ascii="黑体" w:hAnsi="黑体" w:eastAsia="黑体"/>
          <w:sz w:val="32"/>
          <w:szCs w:val="32"/>
        </w:rPr>
        <w:t>六、深化综合改革，扩大教育开放</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color w:val="000000"/>
          <w:kern w:val="0"/>
          <w:sz w:val="32"/>
          <w:szCs w:val="32"/>
        </w:rPr>
      </w:pPr>
      <w:r>
        <w:rPr>
          <w:rFonts w:hint="eastAsia" w:ascii="仿宋_GB2312" w:eastAsia="仿宋_GB2312"/>
          <w:b/>
          <w:bCs/>
          <w:sz w:val="32"/>
          <w:szCs w:val="32"/>
        </w:rPr>
        <w:t>20.全力推进教育高质量发展。</w:t>
      </w:r>
      <w:r>
        <w:rPr>
          <w:rFonts w:hint="eastAsia" w:ascii="仿宋_GB2312" w:eastAsia="仿宋_GB2312"/>
          <w:sz w:val="32"/>
          <w:szCs w:val="32"/>
        </w:rPr>
        <w:t>贯彻落实市委市政府《关于加快推进滨海新区新时代高质量发展的意见》，全面落实</w:t>
      </w:r>
      <w:r>
        <w:rPr>
          <w:rFonts w:hint="eastAsia" w:ascii="仿宋_GB2312" w:eastAsia="仿宋_GB2312"/>
          <w:color w:val="000000"/>
          <w:kern w:val="0"/>
          <w:sz w:val="32"/>
          <w:szCs w:val="32"/>
        </w:rPr>
        <w:t>《市教委滨海新区人民政府推进滨海新区教育事业高质量发展合作协议》确定的各项任务。</w:t>
      </w:r>
      <w:r>
        <w:rPr>
          <w:rFonts w:hint="eastAsia" w:ascii="仿宋_GB2312" w:eastAsia="仿宋_GB2312"/>
          <w:color w:val="000000"/>
          <w:sz w:val="32"/>
          <w:szCs w:val="32"/>
          <w:shd w:val="clear" w:color="auto" w:fill="FFFFFF"/>
        </w:rPr>
        <w:t>主动对接市区优质资源，明确教育开放合作目标、重点任务，吸引优质教育资源，加强教师合作培养，推动师资互派、资源共享、信息互动，促进新区教育与市区协同一体化发展。</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21.</w:t>
      </w:r>
      <w:r>
        <w:rPr>
          <w:rFonts w:hint="eastAsia" w:ascii="仿宋_GB2312" w:eastAsia="仿宋_GB2312"/>
          <w:b/>
          <w:bCs/>
          <w:color w:val="000000"/>
          <w:kern w:val="0"/>
          <w:sz w:val="32"/>
          <w:szCs w:val="32"/>
        </w:rPr>
        <w:t>组建优质公办学校集团。</w:t>
      </w:r>
      <w:r>
        <w:rPr>
          <w:rFonts w:hint="eastAsia" w:ascii="仿宋_GB2312" w:eastAsia="仿宋_GB2312"/>
          <w:color w:val="000000"/>
          <w:sz w:val="32"/>
          <w:szCs w:val="32"/>
          <w:shd w:val="clear" w:color="auto" w:fill="FFFFFF"/>
        </w:rPr>
        <w:t>以市直属校滨海学校和新区塘沽一中、浙江路小学等优质名校为主体，组建教育集团，充分发挥名校的示范、引领、辐射作用，借助名校在教学管理、师资培训、教育科研、学生发展等方面的成功经验，通过复制办学策略和办学模式，</w:t>
      </w:r>
      <w:r>
        <w:rPr>
          <w:rFonts w:hint="eastAsia" w:ascii="仿宋_GB2312" w:eastAsia="仿宋_GB2312"/>
          <w:sz w:val="32"/>
          <w:szCs w:val="32"/>
        </w:rPr>
        <w:t>实现集群优质均衡发展。</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22.深化教育评价改革。</w:t>
      </w:r>
      <w:r>
        <w:rPr>
          <w:rFonts w:hint="eastAsia" w:ascii="仿宋_GB2312" w:eastAsia="仿宋_GB2312"/>
          <w:kern w:val="0"/>
          <w:sz w:val="32"/>
          <w:szCs w:val="32"/>
        </w:rPr>
        <w:t>贯彻落实党中央、国务院《深化新时代教育评价改革总体方案》，扭转不科学的教育评价导向，坚决克服“五唯”顽瘴痼疾。推动落实深化教育评价改革工作安排清单、正面清单和负面清单，开展分层培训。</w:t>
      </w:r>
      <w:r>
        <w:rPr>
          <w:rFonts w:hint="eastAsia" w:ascii="仿宋_GB2312" w:eastAsia="仿宋_GB2312"/>
          <w:sz w:val="32"/>
          <w:szCs w:val="32"/>
        </w:rPr>
        <w:t>改进结果评价，强化过程评价，探索增值评价，健全综合评价。</w:t>
      </w:r>
      <w:r>
        <w:rPr>
          <w:rFonts w:hint="eastAsia" w:ascii="仿宋_GB2312" w:eastAsia="仿宋_GB2312"/>
          <w:color w:val="000000"/>
          <w:spacing w:val="13"/>
          <w:sz w:val="32"/>
          <w:szCs w:val="32"/>
        </w:rPr>
        <w:t>着眼促进德智体美劳全面发展，</w:t>
      </w:r>
      <w:r>
        <w:rPr>
          <w:rFonts w:hint="eastAsia" w:ascii="仿宋_GB2312" w:eastAsia="仿宋_GB2312"/>
          <w:color w:val="000000"/>
          <w:kern w:val="0"/>
          <w:sz w:val="32"/>
          <w:szCs w:val="32"/>
        </w:rPr>
        <w:t>改进中小学生综合素质评价方式，提高综合素质评价的信度和效度。完善学校和学生发展性评价标准。</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23.提升教育治理能力。</w:t>
      </w:r>
      <w:r>
        <w:rPr>
          <w:rFonts w:hint="eastAsia" w:ascii="仿宋_GB2312" w:eastAsia="仿宋_GB2312"/>
          <w:sz w:val="32"/>
          <w:szCs w:val="32"/>
        </w:rPr>
        <w:t>加大治理整顿校外培训机构力度，落实《天津市关于加强校外培训机构风险防控措施》，设立校外培训机构学费专用账户，严格监督管控最低存款余额和大额资金异动，强化风险防控和预警，推进校外培训机构治理常态化。</w:t>
      </w:r>
      <w:r>
        <w:rPr>
          <w:rFonts w:hint="eastAsia" w:ascii="仿宋_GB2312" w:eastAsia="仿宋_GB2312"/>
          <w:kern w:val="0"/>
          <w:sz w:val="32"/>
          <w:szCs w:val="32"/>
        </w:rPr>
        <w:t>指导街镇继续做好辖区内民办托幼点提升工作，加强对无证办学机构的巡查治理及民办托幼点日常管理工作。</w:t>
      </w:r>
    </w:p>
    <w:p>
      <w:pPr>
        <w:keepNext w:val="0"/>
        <w:keepLines w:val="0"/>
        <w:pageBreakBefore w:val="0"/>
        <w:widowControl w:val="0"/>
        <w:suppressLineNumbers w:val="0"/>
        <w:kinsoku/>
        <w:wordWrap/>
        <w:topLinePunct w:val="0"/>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_GB2312" w:eastAsia="仿宋_GB2312"/>
          <w:color w:val="000000"/>
          <w:kern w:val="0"/>
          <w:sz w:val="32"/>
          <w:szCs w:val="32"/>
          <w:lang w:val="en-US" w:eastAsia="zh-CN"/>
        </w:rPr>
      </w:pPr>
      <w:r>
        <w:rPr>
          <w:rFonts w:hint="eastAsia" w:ascii="仿宋_GB2312" w:eastAsia="仿宋_GB2312"/>
          <w:b/>
          <w:bCs/>
          <w:color w:val="000000"/>
          <w:kern w:val="0"/>
          <w:sz w:val="32"/>
          <w:szCs w:val="32"/>
        </w:rPr>
        <w:t>24.深化教育督导体制机制改革。</w:t>
      </w:r>
      <w:r>
        <w:rPr>
          <w:rFonts w:hint="eastAsia" w:ascii="仿宋_GB2312" w:eastAsia="仿宋_GB2312"/>
          <w:color w:val="000000"/>
          <w:kern w:val="0"/>
          <w:sz w:val="32"/>
          <w:szCs w:val="32"/>
        </w:rPr>
        <w:t>加强教育督导基础能力建设，</w:t>
      </w:r>
      <w:r>
        <w:rPr>
          <w:rFonts w:hint="eastAsia" w:ascii="仿宋_GB2312" w:eastAsia="仿宋_GB2312"/>
          <w:color w:val="000000"/>
          <w:kern w:val="0"/>
          <w:sz w:val="32"/>
          <w:szCs w:val="32"/>
          <w:lang w:eastAsia="zh-CN"/>
        </w:rPr>
        <w:t>健全教育督导机构，</w:t>
      </w:r>
      <w:r>
        <w:rPr>
          <w:rFonts w:hint="eastAsia" w:ascii="仿宋_GB2312" w:eastAsia="仿宋_GB2312"/>
          <w:color w:val="000000"/>
          <w:kern w:val="0"/>
          <w:sz w:val="32"/>
          <w:szCs w:val="32"/>
        </w:rPr>
        <w:t>建立有效地运行机制，提高教育督导的权威性；加强专、兼职责任督学和督导评估专家队伍建设，加大培训力度，提高教育督导科学性和专业化水平；</w:t>
      </w:r>
      <w:r>
        <w:rPr>
          <w:rFonts w:hint="eastAsia" w:ascii="仿宋_GB2312" w:eastAsia="仿宋_GB2312"/>
          <w:color w:val="000000"/>
          <w:kern w:val="0"/>
          <w:sz w:val="32"/>
          <w:szCs w:val="32"/>
          <w:lang w:eastAsia="zh-CN"/>
        </w:rPr>
        <w:t>落实</w:t>
      </w:r>
      <w:r>
        <w:rPr>
          <w:rFonts w:hint="eastAsia" w:ascii="仿宋_GB2312" w:hAnsi="微软雅黑" w:eastAsia="仿宋_GB2312" w:cs="宋体"/>
          <w:color w:val="000000"/>
          <w:kern w:val="0"/>
          <w:sz w:val="32"/>
          <w:szCs w:val="32"/>
          <w:shd w:val="clear" w:fill="FFFFFF"/>
          <w:lang w:val="en-US" w:eastAsia="zh-CN" w:bidi="ar"/>
        </w:rPr>
        <w:t>教育督导条件保障，</w:t>
      </w:r>
      <w:r>
        <w:rPr>
          <w:rFonts w:hint="eastAsia" w:ascii="仿宋_GB2312" w:eastAsia="仿宋_GB2312"/>
          <w:kern w:val="0"/>
          <w:sz w:val="32"/>
          <w:szCs w:val="32"/>
        </w:rPr>
        <w:t>开展幼儿园办园行为督导评估，</w:t>
      </w:r>
      <w:r>
        <w:rPr>
          <w:rFonts w:hint="eastAsia" w:ascii="仿宋_GB2312" w:eastAsia="仿宋_GB2312"/>
          <w:color w:val="000000"/>
          <w:kern w:val="0"/>
          <w:sz w:val="32"/>
          <w:szCs w:val="32"/>
        </w:rPr>
        <w:t>确保完成新增幼儿园办园行为规范区级督导评估</w:t>
      </w:r>
      <w:r>
        <w:rPr>
          <w:rFonts w:hint="eastAsia" w:ascii="仿宋_GB2312" w:eastAsia="仿宋_GB2312"/>
          <w:color w:val="000000"/>
          <w:kern w:val="0"/>
          <w:sz w:val="32"/>
          <w:szCs w:val="32"/>
          <w:lang w:eastAsia="zh-CN"/>
        </w:rPr>
        <w:t>，</w:t>
      </w:r>
      <w:r>
        <w:rPr>
          <w:rFonts w:hint="eastAsia" w:ascii="仿宋_GB2312" w:hAnsi="Calibri" w:eastAsia="仿宋_GB2312" w:cs="仿宋_GB2312"/>
          <w:color w:val="000000"/>
          <w:kern w:val="2"/>
          <w:sz w:val="32"/>
          <w:szCs w:val="32"/>
          <w:shd w:val="clear" w:fill="FFFFFF"/>
          <w:lang w:val="en-US" w:eastAsia="zh-CN" w:bidi="ar"/>
        </w:rPr>
        <w:t>并接受市级督导检查。</w:t>
      </w:r>
      <w:r>
        <w:rPr>
          <w:rFonts w:hint="eastAsia" w:ascii="仿宋_GB2312" w:eastAsia="仿宋_GB2312"/>
          <w:color w:val="000000"/>
          <w:kern w:val="0"/>
          <w:sz w:val="32"/>
          <w:szCs w:val="32"/>
          <w:lang w:val="en-US" w:eastAsia="zh-CN"/>
        </w:rPr>
        <w:t xml:space="preserve"> </w:t>
      </w:r>
    </w:p>
    <w:p>
      <w:pPr>
        <w:keepNext w:val="0"/>
        <w:keepLines w:val="0"/>
        <w:pageBreakBefore w:val="0"/>
        <w:widowControl/>
        <w:suppressLineNumbers w:val="0"/>
        <w:shd w:val="clear" w:fill="FFFFFF"/>
        <w:kinsoku/>
        <w:wordWrap/>
        <w:topLinePunct w:val="0"/>
        <w:autoSpaceDN/>
        <w:bidi w:val="0"/>
        <w:adjustRightInd w:val="0"/>
        <w:snapToGrid w:val="0"/>
        <w:spacing w:before="0" w:beforeAutospacing="0" w:after="0" w:afterAutospacing="0" w:line="560" w:lineRule="atLeast"/>
        <w:ind w:left="0" w:right="0" w:firstLine="720"/>
        <w:jc w:val="both"/>
        <w:textAlignment w:val="auto"/>
        <w:rPr>
          <w:rFonts w:hint="eastAsia" w:ascii="仿宋_GB2312" w:eastAsia="仿宋_GB2312"/>
          <w:sz w:val="32"/>
          <w:szCs w:val="32"/>
        </w:rPr>
      </w:pPr>
      <w:r>
        <w:rPr>
          <w:rFonts w:hint="eastAsia" w:ascii="仿宋_GB2312" w:eastAsia="仿宋_GB2312"/>
          <w:b/>
          <w:bCs/>
          <w:sz w:val="32"/>
          <w:szCs w:val="32"/>
        </w:rPr>
        <w:t>25.巩固教育帮扶成果。</w:t>
      </w:r>
      <w:r>
        <w:rPr>
          <w:rFonts w:hint="eastAsia" w:ascii="仿宋_GB2312" w:eastAsia="仿宋_GB2312"/>
          <w:sz w:val="32"/>
          <w:szCs w:val="32"/>
        </w:rPr>
        <w:t>深化“全链条式”教育帮扶，持续开展“组团式”支教、送教活动。鼓励各级各类学校与受援地区学校开展“手拉手”结对帮扶活动。开展“互联网+”教育帮扶工作，通过在线课堂、同步教研，实现优质教育资源共享共用。推广普及国家通用语言文字，办好推广普通话宣传周活动。</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0" w:firstLineChars="200"/>
        <w:textAlignment w:val="auto"/>
        <w:rPr>
          <w:rFonts w:hint="eastAsia" w:ascii="仿宋_GB2312" w:eastAsia="仿宋_GB2312"/>
          <w:sz w:val="32"/>
          <w:szCs w:val="32"/>
        </w:rPr>
      </w:pPr>
      <w:r>
        <w:rPr>
          <w:rFonts w:hint="eastAsia" w:ascii="黑体" w:hAnsi="黑体" w:eastAsia="黑体"/>
          <w:sz w:val="32"/>
          <w:szCs w:val="32"/>
        </w:rPr>
        <w:t>七、坚持依法治教，维护校园安全稳定</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color w:val="000000"/>
          <w:sz w:val="32"/>
          <w:szCs w:val="32"/>
        </w:rPr>
      </w:pPr>
      <w:r>
        <w:rPr>
          <w:rFonts w:hint="eastAsia" w:ascii="仿宋_GB2312" w:eastAsia="仿宋_GB2312"/>
          <w:b/>
          <w:bCs/>
          <w:sz w:val="32"/>
          <w:szCs w:val="32"/>
        </w:rPr>
        <w:t>26.</w:t>
      </w:r>
      <w:r>
        <w:rPr>
          <w:rFonts w:hint="eastAsia" w:ascii="仿宋_GB2312" w:hAnsi="仿宋" w:eastAsia="仿宋_GB2312" w:cs="仿宋"/>
          <w:b/>
          <w:bCs/>
          <w:color w:val="000000"/>
          <w:sz w:val="32"/>
          <w:szCs w:val="32"/>
        </w:rPr>
        <w:t>加强学生的法治教育。</w:t>
      </w:r>
      <w:r>
        <w:rPr>
          <w:rFonts w:hint="eastAsia" w:ascii="仿宋_GB2312" w:hAnsi="Helvetica" w:eastAsia="仿宋_GB2312"/>
          <w:color w:val="000000"/>
          <w:sz w:val="32"/>
          <w:szCs w:val="32"/>
          <w:shd w:val="clear" w:color="auto" w:fill="FFFFFF"/>
        </w:rPr>
        <w:t>以培养知法、尊法、守法、用法的合格公民为根本目标，坚持规则教育、习惯养成与法治实践相结合，深入开展“法治教育进学校进课堂”活动。加强宪法教育、</w:t>
      </w:r>
      <w:r>
        <w:rPr>
          <w:rFonts w:hint="eastAsia" w:ascii="仿宋_GB2312" w:hAnsi="仿宋" w:eastAsia="仿宋_GB2312" w:cs="仿宋"/>
          <w:color w:val="000000"/>
          <w:sz w:val="32"/>
          <w:szCs w:val="32"/>
        </w:rPr>
        <w:t>重视禁毒教育，</w:t>
      </w:r>
      <w:r>
        <w:rPr>
          <w:rFonts w:hint="eastAsia" w:ascii="仿宋_GB2312" w:eastAsia="仿宋_GB2312"/>
          <w:sz w:val="32"/>
          <w:szCs w:val="32"/>
        </w:rPr>
        <w:t>强化学生生命教育、心理健康教育和网络安全教育，</w:t>
      </w:r>
      <w:r>
        <w:rPr>
          <w:rFonts w:hint="eastAsia" w:ascii="仿宋_GB2312" w:eastAsia="仿宋_GB2312"/>
          <w:color w:val="000000"/>
          <w:sz w:val="32"/>
          <w:szCs w:val="32"/>
        </w:rPr>
        <w:t>增强学生法治意识。</w:t>
      </w:r>
    </w:p>
    <w:p>
      <w:pPr>
        <w:keepNext w:val="0"/>
        <w:keepLines w:val="0"/>
        <w:pageBreakBefore w:val="0"/>
        <w:kinsoku/>
        <w:wordWrap/>
        <w:topLinePunct w:val="0"/>
        <w:autoSpaceDE w:val="0"/>
        <w:autoSpaceDN/>
        <w:bidi w:val="0"/>
        <w:adjustRightInd w:val="0"/>
        <w:snapToGrid w:val="0"/>
        <w:spacing w:beforeAutospacing="0" w:afterAutospacing="0" w:line="560" w:lineRule="atLeast"/>
        <w:ind w:firstLine="643" w:firstLineChars="200"/>
        <w:textAlignment w:val="auto"/>
        <w:rPr>
          <w:rFonts w:hint="eastAsia" w:ascii="仿宋_GB2312" w:eastAsia="仿宋_GB2312"/>
          <w:sz w:val="32"/>
          <w:szCs w:val="32"/>
        </w:rPr>
      </w:pPr>
      <w:r>
        <w:rPr>
          <w:rFonts w:hint="eastAsia" w:ascii="仿宋_GB2312" w:eastAsia="仿宋_GB2312"/>
          <w:b/>
          <w:bCs/>
          <w:color w:val="000000"/>
          <w:sz w:val="32"/>
          <w:szCs w:val="32"/>
        </w:rPr>
        <w:t>27.全面推进“青苗关爱工程”</w:t>
      </w:r>
      <w:r>
        <w:rPr>
          <w:rFonts w:hint="eastAsia" w:ascii="仿宋_GB2312" w:eastAsia="仿宋_GB2312"/>
          <w:color w:val="000000"/>
          <w:sz w:val="32"/>
          <w:szCs w:val="32"/>
        </w:rPr>
        <w:t>。以学校为“主战场”，协同公安局、检察院、法院、司法局、卫健委、妇联、街镇、社区、爱心机构等单位联合开展“四大行动”，通过</w:t>
      </w:r>
      <w:r>
        <w:rPr>
          <w:rFonts w:hint="eastAsia" w:ascii="仿宋_GB2312" w:eastAsia="仿宋_GB2312"/>
          <w:color w:val="000000"/>
          <w:kern w:val="0"/>
          <w:sz w:val="32"/>
          <w:szCs w:val="32"/>
        </w:rPr>
        <w:t>活动育人、课程育人、协同育人、管理育人等举措，使</w:t>
      </w:r>
      <w:r>
        <w:rPr>
          <w:rFonts w:hint="eastAsia" w:ascii="仿宋_GB2312" w:eastAsia="仿宋_GB2312"/>
          <w:color w:val="000000"/>
          <w:sz w:val="32"/>
          <w:szCs w:val="32"/>
        </w:rPr>
        <w:t>特质学生教育转化工作更具系统性、规范化和针对性，有效避免校园欺凌事件的发生，营造清朗的校园文化氛围。</w:t>
      </w:r>
    </w:p>
    <w:p>
      <w:pPr>
        <w:pStyle w:val="3"/>
        <w:keepNext w:val="0"/>
        <w:keepLines w:val="0"/>
        <w:pageBreakBefore w:val="0"/>
        <w:widowControl w:val="0"/>
        <w:shd w:val="clear" w:color="auto" w:fill="FFFFFF"/>
        <w:kinsoku/>
        <w:wordWrap/>
        <w:topLinePunct w:val="0"/>
        <w:autoSpaceDE w:val="0"/>
        <w:autoSpaceDN/>
        <w:bidi w:val="0"/>
        <w:adjustRightInd w:val="0"/>
        <w:snapToGrid w:val="0"/>
        <w:spacing w:before="0" w:beforeAutospacing="0" w:after="0" w:afterAutospacing="0" w:line="560" w:lineRule="atLeast"/>
        <w:ind w:firstLine="643" w:firstLineChars="200"/>
        <w:jc w:val="both"/>
        <w:textAlignment w:val="auto"/>
        <w:rPr>
          <w:rFonts w:hint="eastAsia" w:ascii="仿宋_GB2312" w:eastAsia="仿宋_GB2312"/>
          <w:b/>
          <w:bCs/>
          <w:sz w:val="32"/>
          <w:szCs w:val="32"/>
        </w:rPr>
      </w:pPr>
      <w:r>
        <w:rPr>
          <w:rFonts w:hint="eastAsia" w:ascii="仿宋_GB2312" w:eastAsia="仿宋_GB2312"/>
          <w:b/>
          <w:bCs/>
          <w:sz w:val="32"/>
          <w:szCs w:val="32"/>
        </w:rPr>
        <w:t>28.维护校园安全稳定</w:t>
      </w:r>
      <w:r>
        <w:rPr>
          <w:rFonts w:hint="eastAsia" w:ascii="仿宋_GB2312" w:eastAsia="仿宋_GB2312"/>
          <w:sz w:val="32"/>
          <w:szCs w:val="32"/>
        </w:rPr>
        <w:t>。</w:t>
      </w:r>
      <w:r>
        <w:rPr>
          <w:rFonts w:hint="eastAsia" w:ascii="仿宋_GB2312" w:eastAsia="仿宋_GB2312"/>
          <w:kern w:val="2"/>
          <w:sz w:val="32"/>
          <w:szCs w:val="32"/>
        </w:rPr>
        <w:t>统筹抓好疫情防控和教育教学工作，落实疫情防控常态化机制，完善校园疫情防控应急预案，严格防控措施，加强重点部位管理，切实做到防输入、防突发、防松懈。持续推动安全专项整治三年行动、校园食品安全守护三年行动，组织开展校园安全隐患专项排查整治，预防和消除学校食品、消防、校车、实验室等安全隐患。完善维护学校稳定工作机制，做好风险防范、矛盾化解工作。完善校园突发事件应急处置机制，组织开展应急预案演练，提升校园风险防控能力。</w:t>
      </w:r>
    </w:p>
    <w:p>
      <w:pPr>
        <w:keepNext w:val="0"/>
        <w:keepLines w:val="0"/>
        <w:pageBreakBefore w:val="0"/>
        <w:widowControl/>
        <w:shd w:val="clear" w:color="auto" w:fill="FFFFFF"/>
        <w:kinsoku/>
        <w:wordWrap/>
        <w:topLinePunct w:val="0"/>
        <w:autoSpaceDE w:val="0"/>
        <w:autoSpaceDN/>
        <w:bidi w:val="0"/>
        <w:adjustRightInd w:val="0"/>
        <w:snapToGrid w:val="0"/>
        <w:spacing w:beforeAutospacing="0" w:afterAutospacing="0" w:line="560" w:lineRule="atLeast"/>
        <w:ind w:firstLine="640" w:firstLineChars="200"/>
        <w:textAlignment w:val="auto"/>
        <w:rPr>
          <w:rFonts w:hint="eastAsia" w:ascii="黑体" w:hAnsi="黑体" w:eastAsia="黑体"/>
          <w:sz w:val="32"/>
          <w:szCs w:val="32"/>
        </w:rPr>
      </w:pPr>
      <w:r>
        <w:rPr>
          <w:rFonts w:hint="eastAsia" w:ascii="黑体" w:hAnsi="黑体" w:eastAsia="黑体"/>
          <w:sz w:val="32"/>
          <w:szCs w:val="32"/>
        </w:rPr>
        <w:t>八、加快体育设施建设，满足人民群众需求</w:t>
      </w:r>
    </w:p>
    <w:p>
      <w:pPr>
        <w:keepNext w:val="0"/>
        <w:keepLines w:val="0"/>
        <w:pageBreakBefore w:val="0"/>
        <w:kinsoku/>
        <w:wordWrap/>
        <w:topLinePunct w:val="0"/>
        <w:autoSpaceDN/>
        <w:bidi w:val="0"/>
        <w:adjustRightInd w:val="0"/>
        <w:snapToGrid w:val="0"/>
        <w:spacing w:beforeAutospacing="0" w:afterAutospacing="0" w:line="560" w:lineRule="atLeas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sz w:val="32"/>
          <w:szCs w:val="32"/>
        </w:rPr>
        <w:t>29.加快体育设施建设。</w:t>
      </w:r>
      <w:r>
        <w:rPr>
          <w:rFonts w:hint="eastAsia" w:ascii="仿宋_GB2312" w:eastAsia="仿宋_GB2312"/>
          <w:sz w:val="32"/>
          <w:szCs w:val="32"/>
        </w:rPr>
        <w:t>完善城市社区“15分钟健身圈”建设，提升公共体育服务水平，</w:t>
      </w:r>
      <w:r>
        <w:rPr>
          <w:rFonts w:hint="eastAsia" w:ascii="仿宋_GB2312" w:eastAsia="仿宋_GB2312"/>
          <w:color w:val="000000" w:themeColor="text1"/>
          <w:sz w:val="32"/>
          <w:szCs w:val="32"/>
          <w14:textFill>
            <w14:solidFill>
              <w14:schemeClr w14:val="tx1"/>
            </w14:solidFill>
          </w14:textFill>
        </w:rPr>
        <w:t>公共体育场馆免费低收费向社会开放，建设45个社区健身园,28个社区体育园,10个多功能运动场和3条群众健身步道,满足群众对健身场地的需求；支持社会力量新建或改造旧厂房、仓库、老旧商业设施等用于体育健身；在全区推行体育体惠卡，推进智慧体育服务平台建设。</w:t>
      </w:r>
    </w:p>
    <w:p>
      <w:pPr>
        <w:keepNext w:val="0"/>
        <w:keepLines w:val="0"/>
        <w:pageBreakBefore w:val="0"/>
        <w:kinsoku/>
        <w:wordWrap/>
        <w:topLinePunct w:val="0"/>
        <w:autoSpaceDN/>
        <w:bidi w:val="0"/>
        <w:adjustRightInd w:val="0"/>
        <w:snapToGrid w:val="0"/>
        <w:spacing w:beforeAutospacing="0" w:afterAutospacing="0" w:line="560" w:lineRule="atLeas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30.开展全民健身赛事活动。</w:t>
      </w:r>
      <w:r>
        <w:rPr>
          <w:rFonts w:hint="eastAsia" w:ascii="仿宋_GB2312" w:eastAsia="仿宋_GB2312"/>
          <w:color w:val="000000" w:themeColor="text1"/>
          <w:sz w:val="32"/>
          <w:szCs w:val="32"/>
          <w14:textFill>
            <w14:solidFill>
              <w14:schemeClr w14:val="tx1"/>
            </w14:solidFill>
          </w14:textFill>
        </w:rPr>
        <w:t>组织举办全民健身竞赛活动，全年举办群众体育竞赛50项次，继续开展传统群众体育健身系列活动；承办市级及全国群众体育竞赛，组队参加天津市第八届市民运动会；推广科学、文明的健身方法,举办健身方法培训班和社会体育指导员培训班，培训社会体育指导员300名。</w:t>
      </w:r>
    </w:p>
    <w:p>
      <w:pPr>
        <w:keepNext w:val="0"/>
        <w:keepLines w:val="0"/>
        <w:pageBreakBefore w:val="0"/>
        <w:kinsoku/>
        <w:wordWrap/>
        <w:topLinePunct w:val="0"/>
        <w:autoSpaceDE w:val="0"/>
        <w:autoSpaceDN/>
        <w:bidi w:val="0"/>
        <w:adjustRightInd w:val="0"/>
        <w:snapToGrid w:val="0"/>
        <w:spacing w:beforeAutospacing="0" w:afterAutospacing="0" w:line="560" w:lineRule="atLeast"/>
        <w:textAlignment w:val="auto"/>
        <w:rPr>
          <w:rFonts w:hint="eastAsia" w:ascii="仿宋_GB2312" w:eastAsia="仿宋_GB2312"/>
          <w:sz w:val="32"/>
          <w:szCs w:val="32"/>
        </w:rPr>
      </w:pPr>
    </w:p>
    <w:p>
      <w:pPr>
        <w:keepNext w:val="0"/>
        <w:keepLines w:val="0"/>
        <w:pageBreakBefore w:val="0"/>
        <w:kinsoku/>
        <w:wordWrap/>
        <w:topLinePunct w:val="0"/>
        <w:autoSpaceDE w:val="0"/>
        <w:autoSpaceDN/>
        <w:bidi w:val="0"/>
        <w:adjustRightInd w:val="0"/>
        <w:snapToGrid w:val="0"/>
        <w:spacing w:beforeAutospacing="0" w:afterAutospacing="0" w:line="560" w:lineRule="atLeas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topLinePunct w:val="0"/>
        <w:autoSpaceDE w:val="0"/>
        <w:autoSpaceDN/>
        <w:bidi w:val="0"/>
        <w:adjustRightInd w:val="0"/>
        <w:snapToGrid w:val="0"/>
        <w:spacing w:beforeAutospacing="0" w:afterAutospacing="0" w:line="560" w:lineRule="atLeast"/>
        <w:textAlignment w:val="auto"/>
        <w:rPr>
          <w:rFonts w:hint="eastAsia" w:ascii="仿宋_GB2312" w:eastAsia="仿宋_GB2312"/>
          <w:sz w:val="32"/>
          <w:szCs w:val="32"/>
        </w:rPr>
      </w:pPr>
      <w:bookmarkStart w:id="0" w:name="_GoBack"/>
      <w:bookmarkEnd w:id="0"/>
    </w:p>
    <w:p>
      <w:pPr>
        <w:keepNext w:val="0"/>
        <w:keepLines w:val="0"/>
        <w:pageBreakBefore w:val="0"/>
        <w:kinsoku/>
        <w:wordWrap/>
        <w:topLinePunct w:val="0"/>
        <w:autoSpaceDN/>
        <w:bidi w:val="0"/>
        <w:adjustRightInd w:val="0"/>
        <w:snapToGrid w:val="0"/>
        <w:spacing w:line="560" w:lineRule="atLeast"/>
        <w:ind w:firstLine="640" w:firstLineChars="200"/>
        <w:textAlignment w:val="auto"/>
        <w:rPr>
          <w:rFonts w:hAnsi="仿宋_GB2312" w:cs="仿宋_GB2312"/>
          <w:szCs w:val="32"/>
        </w:rPr>
      </w:pPr>
    </w:p>
    <w:p>
      <w:pPr>
        <w:keepNext w:val="0"/>
        <w:keepLines w:val="0"/>
        <w:pageBreakBefore w:val="0"/>
        <w:kinsoku/>
        <w:wordWrap/>
        <w:topLinePunct w:val="0"/>
        <w:autoSpaceDN/>
        <w:bidi w:val="0"/>
        <w:adjustRightInd w:val="0"/>
        <w:snapToGrid w:val="0"/>
        <w:spacing w:line="560" w:lineRule="atLeast"/>
        <w:ind w:firstLine="140" w:firstLineChars="50"/>
        <w:jc w:val="left"/>
        <w:textAlignment w:val="auto"/>
        <w:rPr>
          <w:rFonts w:hAnsi="仿宋_GB2312" w:cs="仿宋_GB2312"/>
          <w:sz w:val="28"/>
          <w:szCs w:val="28"/>
        </w:rPr>
      </w:pPr>
      <w:r>
        <w:rPr>
          <w:rFonts w:hAnsi="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-60325</wp:posOffset>
                </wp:positionH>
                <wp:positionV relativeFrom="paragraph">
                  <wp:posOffset>81915</wp:posOffset>
                </wp:positionV>
                <wp:extent cx="54362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36235"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6.45pt;height:0.05pt;width:428.05pt;z-index:251666432;mso-width-relative:page;mso-height-relative:page;" filled="f" stroked="t" coordsize="21600,21600" o:gfxdata="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mT2odYAAAAIAQAADwAAAAAAAAABACAAAAAiAAAAZHJzL2Rvd25yZXYueG1sUEsB&#10;AhQAFAAAAAgAh07iQI5H9GP3AQAA5wMAAA4AAAAAAAAAAQAgAAAAJQEAAGRycy9lMm9Eb2MueG1s&#10;UEsFBgAAAAAGAAYAWQEAAI4FAAAAAA==&#10;">
                <v:fill on="f" focussize="0,0"/>
                <v:stroke weight="0.992047244094488pt" color="#000000" joinstyle="round"/>
                <v:imagedata o:title=""/>
                <o:lock v:ext="edit" aspectratio="f"/>
              </v:line>
            </w:pict>
          </mc:Fallback>
        </mc:AlternateContent>
      </w:r>
      <w:r>
        <w:rPr>
          <w:rFonts w:hint="eastAsia" w:hAnsi="仿宋_GB2312" w:cs="仿宋_GB2312"/>
          <w:sz w:val="28"/>
          <w:szCs w:val="28"/>
        </w:rPr>
        <w:t>抄送：各开发区管委会、泰达街</w:t>
      </w:r>
    </w:p>
    <w:p>
      <w:pPr>
        <w:keepNext w:val="0"/>
        <w:keepLines w:val="0"/>
        <w:pageBreakBefore w:val="0"/>
        <w:kinsoku/>
        <w:wordWrap/>
        <w:topLinePunct w:val="0"/>
        <w:autoSpaceDN/>
        <w:bidi w:val="0"/>
        <w:adjustRightInd w:val="0"/>
        <w:snapToGrid w:val="0"/>
        <w:spacing w:line="560" w:lineRule="atLeast"/>
        <w:jc w:val="center"/>
        <w:textAlignment w:val="auto"/>
      </w:pPr>
      <w:r>
        <w:rPr>
          <w:rFonts w:ascii="Calibri" w:hAns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67310</wp:posOffset>
                </wp:positionV>
                <wp:extent cx="54362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6235"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5.3pt;height:0.05pt;width:428.05pt;z-index:251662336;mso-width-relative:page;mso-height-relative:page;" filled="f" stroked="t" coordsize="21600,21600" o:gfxdata="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GOCy1QAAAAgBAAAPAAAAAAAAAAEAIAAAACIAAABkcnMvZG93bnJldi54bWxQSwEC&#10;FAAUAAAACACHTuJAX4nJ6PcBAADnAwAADgAAAAAAAAABACAAAAAkAQAAZHJzL2Uyb0RvYy54bWxQ&#10;SwUGAAAAAAYABgBZAQAAjQUAAAAA&#10;">
                <v:fill on="f" focussize="0,0"/>
                <v:stroke weight="0.992047244094488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382905</wp:posOffset>
                </wp:positionV>
                <wp:extent cx="54362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36235"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30.15pt;height:0.05pt;width:428.05pt;z-index:251663360;mso-width-relative:page;mso-height-relative:page;" filled="f" stroked="t" coordsize="21600,21600" o:gfxdata="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aSnD1gAAAAgBAAAPAAAAAAAAAAEAIAAAACIAAABkcnMvZG93bnJldi54bWxQSwEC&#10;FAAUAAAACACHTuJAWFf7OfYBAADnAwAADgAAAAAAAAABACAAAAAlAQAAZHJzL2Uyb0RvYy54bWxQ&#10;SwUGAAAAAAYABgBZAQAAjQUAAAAA&#10;">
                <v:fill on="f" focussize="0,0"/>
                <v:stroke weight="0.992047244094488pt" color="#000000" joinstyle="round"/>
                <v:imagedata o:title=""/>
                <o:lock v:ext="edit" aspectratio="f"/>
              </v:line>
            </w:pict>
          </mc:Fallback>
        </mc:AlternateContent>
      </w:r>
      <w:r>
        <w:rPr>
          <w:rFonts w:hint="eastAsia"/>
          <w:sz w:val="28"/>
          <w:szCs w:val="28"/>
        </w:rPr>
        <w:t xml:space="preserve"> 天津市滨海新区教育体育局办公室        202</w:t>
      </w:r>
      <w:r>
        <w:rPr>
          <w:rFonts w:hint="eastAsia"/>
          <w:sz w:val="28"/>
          <w:szCs w:val="28"/>
          <w:lang w:val="en-US" w:eastAsia="zh-CN"/>
        </w:rPr>
        <w:t>1</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8</w:t>
      </w:r>
      <w:r>
        <w:rPr>
          <w:rFonts w:hint="eastAsia"/>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17AFF"/>
    <w:rsid w:val="20E43629"/>
    <w:rsid w:val="49417AFF"/>
    <w:rsid w:val="4D355CE0"/>
    <w:rsid w:val="54AA507A"/>
    <w:rsid w:val="57285153"/>
    <w:rsid w:val="5B5A5E3B"/>
    <w:rsid w:val="67052556"/>
    <w:rsid w:val="7AA1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before="100" w:beforeAutospacing="1" w:after="120"/>
    </w:pPr>
    <w:rPr>
      <w:rFonts w:ascii="Calibri" w:hAnsi="Calibri"/>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6">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2021-02-23T06:22:00Z</dcterms:created>
  <dc:creator>Administrator</dc:creator>
  <cp:lastModifiedBy>Administrator</cp:lastModifiedBy>
  <dcterms:modified xsi:type="dcterms:W3CDTF">2021-02-24T02:26:03Z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